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framePr w:w="8291" w:h="1270" w:hRule="exact" w:wrap="around" w:x="1930" w:y="1612"/>
        <w:rPr>
          <w:sz w:val="84"/>
          <w:szCs w:val="84"/>
        </w:rPr>
      </w:pPr>
      <w:r>
        <w:rPr>
          <w:rFonts w:hint="eastAsia"/>
          <w:sz w:val="84"/>
          <w:szCs w:val="84"/>
        </w:rPr>
        <w:t xml:space="preserve">团体标准 </w:t>
      </w:r>
    </w:p>
    <w:p>
      <w:pPr>
        <w:pStyle w:val="55"/>
        <w:framePr w:wrap="around"/>
        <w:wordWrap w:val="0"/>
      </w:pPr>
      <w:r>
        <w:t>T/FSS XX-2024</w:t>
      </w:r>
    </w:p>
    <w:tbl>
      <w:tblPr>
        <w:tblStyle w:val="17"/>
        <w:tblW w:w="9739" w:type="dxa"/>
        <w:tblInd w:w="0" w:type="dxa"/>
        <w:tblBorders>
          <w:top w:val="single" w:color="auto" w:sz="8"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39"/>
      </w:tblGrid>
      <w:tr>
        <w:tblPrEx>
          <w:tblBorders>
            <w:top w:val="single" w:color="auto" w:sz="8"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739" w:type="dxa"/>
            <w:shd w:val="clear" w:color="auto" w:fill="auto"/>
          </w:tcPr>
          <w:p>
            <w:pPr>
              <w:pStyle w:val="43"/>
              <w:framePr w:wrap="around"/>
              <w:rPr>
                <w:sz w:val="10"/>
              </w:rPr>
            </w:pPr>
          </w:p>
        </w:tc>
      </w:tr>
    </w:tbl>
    <w:p>
      <w:pPr>
        <w:pStyle w:val="57"/>
        <w:framePr w:wrap="around"/>
      </w:pPr>
      <w:r>
        <w:rPr>
          <w:rFonts w:hint="eastAsia"/>
        </w:rPr>
        <w:t xml:space="preserve">佛山标准 </w:t>
      </w:r>
      <w:r>
        <w:t xml:space="preserve"> </w:t>
      </w:r>
      <w:r>
        <w:rPr>
          <w:rFonts w:hint="eastAsia"/>
        </w:rPr>
        <w:t>商用冷柜</w:t>
      </w:r>
    </w:p>
    <w:p>
      <w:pPr>
        <w:pStyle w:val="59"/>
        <w:framePr w:wrap="around"/>
      </w:pPr>
      <w:r>
        <w:t xml:space="preserve">Foshan Standard </w:t>
      </w:r>
      <w:r>
        <w:rPr>
          <w:rFonts w:hint="default"/>
          <w:lang w:val="en-US"/>
        </w:rPr>
        <w:t>C</w:t>
      </w:r>
      <w:r>
        <w:rPr>
          <w:rFonts w:hint="eastAsia"/>
        </w:rPr>
        <w:t>ommercial</w:t>
      </w:r>
      <w:r>
        <w:rPr>
          <w:rFonts w:hint="eastAsia"/>
          <w:lang w:val="en-US" w:eastAsia="zh-CN"/>
        </w:rPr>
        <w:t xml:space="preserve"> </w:t>
      </w:r>
      <w:r>
        <w:rPr>
          <w:rFonts w:hint="default"/>
          <w:lang w:val="en-US"/>
        </w:rPr>
        <w:t>r</w:t>
      </w:r>
      <w:r>
        <w:t>efrigerated cabinets</w:t>
      </w:r>
    </w:p>
    <w:p>
      <w:pPr>
        <w:pStyle w:val="63"/>
        <w:framePr w:wrap="around"/>
        <w:spacing w:after="0"/>
      </w:pPr>
      <w:r>
        <w:t>(</w:t>
      </w:r>
      <w:r>
        <w:rPr>
          <w:rFonts w:hint="eastAsia"/>
        </w:rPr>
        <w:t>讨论稿)</w:t>
      </w:r>
    </w:p>
    <w:tbl>
      <w:tblPr>
        <w:tblStyle w:val="17"/>
        <w:tblW w:w="9739" w:type="dxa"/>
        <w:tblInd w:w="0" w:type="dxa"/>
        <w:tblBorders>
          <w:top w:val="none" w:color="auto" w:sz="0"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69"/>
        <w:gridCol w:w="4870"/>
      </w:tblGrid>
      <w:tr>
        <w:tblPrEx>
          <w:tblBorders>
            <w:top w:val="none" w:color="auto" w:sz="0" w:space="0"/>
            <w:left w:val="none" w:color="auto" w:sz="0" w:space="0"/>
            <w:bottom w:val="single" w:color="auto"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869" w:type="dxa"/>
            <w:shd w:val="clear" w:color="auto" w:fill="auto"/>
            <w:tcMar>
              <w:left w:w="57" w:type="dxa"/>
              <w:bottom w:w="28" w:type="dxa"/>
            </w:tcMar>
          </w:tcPr>
          <w:p>
            <w:pPr>
              <w:pStyle w:val="51"/>
              <w:framePr w:wrap="around"/>
            </w:pPr>
            <w:r>
              <w:t xml:space="preserve">2024-07- </w:t>
            </w:r>
            <w:r>
              <w:fldChar w:fldCharType="begin">
                <w:ffData>
                  <w:name w:val="FD"/>
                  <w:enabled/>
                  <w:calcOnExit w:val="0"/>
                  <w:textInput>
                    <w:default w:val="XX"/>
                    <w:maxLength w:val="2"/>
                  </w:textInput>
                </w:ffData>
              </w:fldChar>
            </w:r>
            <w:bookmarkStart w:id="0" w:name="FD"/>
            <w:r>
              <w:instrText xml:space="preserve"> FORMTEXT </w:instrText>
            </w:r>
            <w:r>
              <w:fldChar w:fldCharType="separate"/>
            </w:r>
            <w:r>
              <w:t>XX</w:t>
            </w:r>
            <w:r>
              <w:fldChar w:fldCharType="end"/>
            </w:r>
            <w:bookmarkEnd w:id="0"/>
            <w:r>
              <w:rPr>
                <w:rFonts w:hint="eastAsia"/>
              </w:rPr>
              <w:t xml:space="preserve"> 发布</w:t>
            </w:r>
          </w:p>
        </w:tc>
        <w:tc>
          <w:tcPr>
            <w:tcW w:w="4870" w:type="dxa"/>
            <w:shd w:val="clear" w:color="auto" w:fill="auto"/>
            <w:tcMar>
              <w:right w:w="57" w:type="dxa"/>
            </w:tcMar>
          </w:tcPr>
          <w:p>
            <w:pPr>
              <w:pStyle w:val="51"/>
              <w:framePr w:wrap="around"/>
              <w:jc w:val="right"/>
            </w:pPr>
            <w:r>
              <w:t>2024-08 - 01</w:t>
            </w:r>
            <w:r>
              <w:rPr>
                <w:rFonts w:hint="eastAsia"/>
              </w:rPr>
              <w:t xml:space="preserve"> 实施</w:t>
            </w:r>
          </w:p>
        </w:tc>
      </w:tr>
    </w:tbl>
    <w:p>
      <w:pPr>
        <w:pStyle w:val="71"/>
        <w:framePr w:wrap="around"/>
      </w:pPr>
      <w:r>
        <w:rPr>
          <w:rFonts w:hint="eastAsia"/>
        </w:rPr>
        <w:t>佛山市佛山标准和卓越绩效管理促进会</w:t>
      </w:r>
      <w:r>
        <w:t>  </w:t>
      </w:r>
      <w:r>
        <w:rPr>
          <w:spacing w:val="85"/>
        </w:rPr>
        <w:t>发</w:t>
      </w:r>
      <w:r>
        <w:t>布</w:t>
      </w:r>
    </w:p>
    <w:tbl>
      <w:tblPr>
        <w:tblStyle w:val="17"/>
        <w:tblW w:w="0" w:type="auto"/>
        <w:tblInd w:w="0" w:type="dxa"/>
        <w:tblLayout w:type="fixed"/>
        <w:tblCellMar>
          <w:top w:w="0" w:type="dxa"/>
          <w:left w:w="0" w:type="dxa"/>
          <w:bottom w:w="0" w:type="dxa"/>
          <w:right w:w="0" w:type="dxa"/>
        </w:tblCellMar>
      </w:tblPr>
      <w:tblGrid>
        <w:gridCol w:w="1560"/>
        <w:gridCol w:w="7795"/>
      </w:tblGrid>
      <w:tr>
        <w:tblPrEx>
          <w:tblCellMar>
            <w:top w:w="0" w:type="dxa"/>
            <w:left w:w="0" w:type="dxa"/>
            <w:bottom w:w="0" w:type="dxa"/>
            <w:right w:w="0" w:type="dxa"/>
          </w:tblCellMar>
        </w:tblPrEx>
        <w:tc>
          <w:tcPr>
            <w:tcW w:w="1560" w:type="dxa"/>
            <w:shd w:val="clear" w:color="auto" w:fill="auto"/>
          </w:tcPr>
          <w:p>
            <w:pPr>
              <w:pStyle w:val="79"/>
              <w:framePr w:wrap="around"/>
            </w:pPr>
            <w:r>
              <w:t xml:space="preserve">ICS </w:t>
            </w:r>
            <w:r>
              <w:rPr>
                <w:rFonts w:hint="eastAsia"/>
              </w:rPr>
              <w:t>97</w:t>
            </w:r>
            <w:r>
              <w:t>.</w:t>
            </w:r>
            <w:r>
              <w:rPr>
                <w:rFonts w:hint="eastAsia"/>
              </w:rPr>
              <w:t>130.20</w:t>
            </w:r>
          </w:p>
        </w:tc>
        <w:tc>
          <w:tcPr>
            <w:tcW w:w="7795" w:type="dxa"/>
            <w:shd w:val="clear" w:color="auto" w:fill="auto"/>
          </w:tcPr>
          <w:p>
            <w:pPr>
              <w:pStyle w:val="79"/>
              <w:framePr w:wrap="around"/>
            </w:pPr>
          </w:p>
        </w:tc>
      </w:tr>
      <w:tr>
        <w:tblPrEx>
          <w:tblCellMar>
            <w:top w:w="0" w:type="dxa"/>
            <w:left w:w="0" w:type="dxa"/>
            <w:bottom w:w="0" w:type="dxa"/>
            <w:right w:w="0" w:type="dxa"/>
          </w:tblCellMar>
        </w:tblPrEx>
        <w:tc>
          <w:tcPr>
            <w:tcW w:w="1560" w:type="dxa"/>
            <w:shd w:val="clear" w:color="auto" w:fill="auto"/>
          </w:tcPr>
          <w:p>
            <w:pPr>
              <w:pStyle w:val="79"/>
              <w:framePr w:wrap="around"/>
            </w:pPr>
            <w:r>
              <w:t>CCS J</w:t>
            </w:r>
            <w:r>
              <w:rPr>
                <w:rFonts w:hint="eastAsia"/>
              </w:rPr>
              <w:t xml:space="preserve"> 73</w:t>
            </w:r>
          </w:p>
        </w:tc>
        <w:tc>
          <w:tcPr>
            <w:tcW w:w="7795" w:type="dxa"/>
            <w:shd w:val="clear" w:color="auto" w:fill="auto"/>
          </w:tcPr>
          <w:p>
            <w:pPr>
              <w:pStyle w:val="79"/>
              <w:framePr w:wrap="around"/>
            </w:pPr>
          </w:p>
          <w:tbl>
            <w:tblPr>
              <w:tblStyle w:val="17"/>
              <w:tblpPr w:vertAnchor="page" w:horzAnchor="margin" w:tblpXSpec="right" w:tblpY="114"/>
              <w:tblW w:w="6661" w:type="dxa"/>
              <w:tblInd w:w="0" w:type="dxa"/>
              <w:tblLayout w:type="fixed"/>
              <w:tblCellMar>
                <w:top w:w="0" w:type="dxa"/>
                <w:left w:w="0" w:type="dxa"/>
                <w:bottom w:w="0" w:type="dxa"/>
                <w:right w:w="0" w:type="dxa"/>
              </w:tblCellMar>
            </w:tblPr>
            <w:tblGrid>
              <w:gridCol w:w="6661"/>
            </w:tblGrid>
            <w:tr>
              <w:tblPrEx>
                <w:tblCellMar>
                  <w:top w:w="0" w:type="dxa"/>
                  <w:left w:w="0" w:type="dxa"/>
                  <w:bottom w:w="0" w:type="dxa"/>
                  <w:right w:w="0" w:type="dxa"/>
                </w:tblCellMar>
              </w:tblPrEx>
              <w:trPr>
                <w:trHeight w:val="1281" w:hRule="atLeast"/>
              </w:trPr>
              <w:tc>
                <w:tcPr>
                  <w:tcW w:w="8892" w:type="dxa"/>
                  <w:shd w:val="clear" w:color="auto" w:fill="auto"/>
                  <w:vAlign w:val="center"/>
                </w:tcPr>
                <w:p>
                  <w:pPr>
                    <w:pStyle w:val="79"/>
                    <w:framePr w:wrap="around"/>
                    <w:jc w:val="right"/>
                    <w:rPr>
                      <w:rFonts w:ascii="Times New Roman" w:eastAsia="宋体"/>
                      <w:b/>
                      <w:w w:val="130"/>
                      <w:kern w:val="0"/>
                    </w:rPr>
                  </w:pPr>
                </w:p>
              </w:tc>
            </w:tr>
          </w:tbl>
          <w:p>
            <w:pPr>
              <w:pStyle w:val="79"/>
              <w:framePr w:wrap="around"/>
            </w:pPr>
          </w:p>
        </w:tc>
      </w:tr>
    </w:tbl>
    <w:p>
      <w:pPr>
        <w:pStyle w:val="79"/>
        <w:framePr w:wrap="around"/>
        <w:sectPr>
          <w:headerReference r:id="rId3" w:type="default"/>
          <w:pgSz w:w="11906" w:h="16838"/>
          <w:pgMar w:top="-340" w:right="1134" w:bottom="1020" w:left="1134" w:header="0" w:footer="0" w:gutter="283"/>
          <w:pgNumType w:start="1"/>
          <w:cols w:space="425" w:num="1"/>
          <w:docGrid w:type="lines" w:linePitch="312" w:charSpace="0"/>
        </w:sectPr>
      </w:pPr>
    </w:p>
    <w:p>
      <w:pPr>
        <w:pStyle w:val="83"/>
        <w:spacing w:after="468"/>
      </w:pPr>
      <w:r>
        <w:rPr>
          <w:rFonts w:hint="eastAsia"/>
          <w:spacing w:val="317"/>
        </w:rPr>
        <w:t>前</w:t>
      </w:r>
      <w:bookmarkStart w:id="1" w:name="BKQY"/>
      <w:r>
        <w:rPr>
          <w:rFonts w:hint="eastAsia"/>
        </w:rPr>
        <w:t>言</w:t>
      </w:r>
    </w:p>
    <w:p>
      <w:pPr>
        <w:pStyle w:val="23"/>
        <w:ind w:firstLine="420"/>
      </w:pPr>
      <w:r>
        <w:rPr>
          <w:rFonts w:hint="eastAsia"/>
        </w:rPr>
        <w:t>本文件按照GB/T 1.1-2020《标准化工作导则  第1部分：标准化文件的结构和起草规则》的规定起草。</w:t>
      </w:r>
    </w:p>
    <w:p>
      <w:pPr>
        <w:pStyle w:val="23"/>
        <w:ind w:firstLine="420"/>
      </w:pPr>
      <w:r>
        <w:rPr>
          <w:rFonts w:hint="eastAsia"/>
        </w:rPr>
        <w:t>请注意本文件的某些内容可能涉及专利，本文件的发布机构不承担识别专利的责任。</w:t>
      </w:r>
    </w:p>
    <w:p>
      <w:pPr>
        <w:pStyle w:val="23"/>
        <w:ind w:firstLine="420"/>
      </w:pPr>
      <w:r>
        <w:rPr>
          <w:rFonts w:hint="eastAsia"/>
        </w:rPr>
        <w:t>本文件由佛山市佛山标准和卓越绩效管理促进会提出并归口。</w:t>
      </w:r>
    </w:p>
    <w:p>
      <w:pPr>
        <w:pStyle w:val="23"/>
        <w:ind w:firstLine="420"/>
      </w:pPr>
      <w:r>
        <w:rPr>
          <w:rFonts w:hint="eastAsia"/>
        </w:rPr>
        <w:t>本文件起草单位：XXX、XXX。</w:t>
      </w:r>
    </w:p>
    <w:p>
      <w:pPr>
        <w:pStyle w:val="23"/>
        <w:ind w:firstLine="420"/>
      </w:pPr>
      <w:r>
        <w:rPr>
          <w:rFonts w:hint="eastAsia"/>
        </w:rPr>
        <w:t>本文件主要起草人：XXX、。</w:t>
      </w:r>
      <w:bookmarkEnd w:id="1"/>
    </w:p>
    <w:p>
      <w:pPr>
        <w:widowControl/>
        <w:jc w:val="left"/>
      </w:pPr>
      <w:r>
        <w:br w:type="page"/>
      </w:r>
    </w:p>
    <w:p>
      <w:pPr>
        <w:pStyle w:val="83"/>
        <w:spacing w:after="468"/>
      </w:pPr>
      <w:r>
        <w:rPr>
          <w:rFonts w:hint="eastAsia"/>
          <w:spacing w:val="317"/>
        </w:rPr>
        <w:t>引</w:t>
      </w:r>
      <w:bookmarkStart w:id="2" w:name="BKYY"/>
      <w:r>
        <w:rPr>
          <w:rFonts w:hint="eastAsia"/>
        </w:rPr>
        <w:t>言</w:t>
      </w:r>
    </w:p>
    <w:p>
      <w:pPr>
        <w:pStyle w:val="23"/>
        <w:ind w:firstLine="420"/>
      </w:pPr>
      <w:r>
        <w:rPr>
          <w:rFonts w:hint="eastAsia"/>
        </w:rPr>
        <w:t>佛山标准是佛山市为推动制造业高质量发展，打造的系列先进标准。</w:t>
      </w:r>
    </w:p>
    <w:p>
      <w:pPr>
        <w:pStyle w:val="23"/>
        <w:ind w:firstLine="420"/>
      </w:pPr>
      <w:r>
        <w:rPr>
          <w:rFonts w:hint="eastAsia"/>
        </w:rPr>
        <w:t>佛山标准倡导“标准决定质量，只有高标准才有高质量”的理念，坚持“国内领先、国际先进”定位，聚焦佛山制造业重点产业优势激光加工中心，对标国内国际先进标准，围绕消费升级方向，提升标准和质量水平，增加优质激光加工中心供给，以高标准打造中国制造品质高地，满足人民日益增长的美好生活需要。</w:t>
      </w:r>
      <w:bookmarkEnd w:id="2"/>
    </w:p>
    <w:p>
      <w:pPr>
        <w:sectPr>
          <w:headerReference r:id="rId4" w:type="default"/>
          <w:footerReference r:id="rId5" w:type="default"/>
          <w:pgSz w:w="11906" w:h="16838"/>
          <w:pgMar w:top="2409" w:right="1134" w:bottom="1134" w:left="1134" w:header="1417" w:footer="1134" w:gutter="283"/>
          <w:pgNumType w:fmt="upperRoman" w:start="1"/>
          <w:cols w:space="425" w:num="1"/>
          <w:docGrid w:type="lines" w:linePitch="312" w:charSpace="0"/>
        </w:sectPr>
      </w:pPr>
    </w:p>
    <w:sdt>
      <w:sdtPr>
        <w:rPr>
          <w:rStyle w:val="86"/>
          <w:rFonts w:hint="eastAsia"/>
        </w:rPr>
        <w:tag w:val="StandardName"/>
        <w:id w:val="-1788579198"/>
        <w:lock w:val="sdtLocked"/>
        <w:placeholder>
          <w:docPart w:val="DefaultPlaceholder_-1854013440"/>
        </w:placeholder>
      </w:sdtPr>
      <w:sdtEndPr>
        <w:rPr>
          <w:rStyle w:val="86"/>
          <w:rFonts w:hint="default"/>
        </w:rPr>
      </w:sdtEndPr>
      <w:sdtContent>
        <w:p>
          <w:pPr>
            <w:pStyle w:val="85"/>
            <w:rPr>
              <w:rStyle w:val="86"/>
            </w:rPr>
          </w:pPr>
          <w:bookmarkStart w:id="3" w:name="StandardName"/>
          <w:r>
            <w:rPr>
              <w:rStyle w:val="86"/>
              <w:rFonts w:hint="eastAsia"/>
            </w:rPr>
            <w:t xml:space="preserve">佛山标准 </w:t>
          </w:r>
          <w:bookmarkEnd w:id="3"/>
          <w:r>
            <w:rPr>
              <w:rStyle w:val="86"/>
              <w:rFonts w:hint="eastAsia"/>
            </w:rPr>
            <w:t>商用冷柜</w:t>
          </w:r>
        </w:p>
      </w:sdtContent>
    </w:sdt>
    <w:p>
      <w:pPr>
        <w:pStyle w:val="117"/>
        <w:spacing w:before="312" w:after="312"/>
      </w:pPr>
      <w:r>
        <w:rPr>
          <w:rFonts w:hint="eastAsia"/>
        </w:rPr>
        <w:t>范围</w:t>
      </w:r>
    </w:p>
    <w:p>
      <w:pPr>
        <w:pStyle w:val="23"/>
        <w:ind w:firstLine="630" w:firstLineChars="300"/>
      </w:pPr>
      <w:r>
        <w:rPr>
          <w:rFonts w:hint="eastAsia"/>
        </w:rPr>
        <w:t>本文件规定了佛山标准商用冷柜的</w:t>
      </w:r>
      <w:r>
        <w:rPr>
          <w:rFonts w:hint="eastAsia"/>
          <w:lang w:val="en-US" w:eastAsia="zh-CN"/>
        </w:rPr>
        <w:t>技术</w:t>
      </w:r>
      <w:r>
        <w:rPr>
          <w:rFonts w:hint="eastAsia"/>
        </w:rPr>
        <w:t>要求、试验方法、检验规则、标志、</w:t>
      </w:r>
      <w:r>
        <w:rPr>
          <w:rFonts w:hint="eastAsia"/>
          <w:lang w:val="en-US" w:eastAsia="zh-CN"/>
        </w:rPr>
        <w:t>产品说明、</w:t>
      </w:r>
      <w:r>
        <w:rPr>
          <w:rFonts w:hint="eastAsia"/>
        </w:rPr>
        <w:t>包装、运输</w:t>
      </w:r>
      <w:r>
        <w:rPr>
          <w:rFonts w:hint="eastAsia"/>
          <w:lang w:eastAsia="zh-CN"/>
        </w:rPr>
        <w:t>、</w:t>
      </w:r>
      <w:r>
        <w:rPr>
          <w:rFonts w:hint="eastAsia"/>
        </w:rPr>
        <w:t>贮存及质量承诺。</w:t>
      </w:r>
    </w:p>
    <w:p>
      <w:pPr>
        <w:pStyle w:val="23"/>
        <w:ind w:firstLine="630" w:firstLineChars="300"/>
      </w:pPr>
      <w:r>
        <w:rPr>
          <w:rFonts w:hint="eastAsia"/>
        </w:rPr>
        <w:t>本文件适用于宾馆和饭店等非家庭非零售用的带有冷藏室或冷冻储藏室的制冷工作台、厨房</w:t>
      </w:r>
      <w:r>
        <w:rPr>
          <w:rFonts w:hint="eastAsia"/>
          <w:lang w:val="en-US" w:eastAsia="zh-CN"/>
        </w:rPr>
        <w:t>冷柜</w:t>
      </w:r>
      <w:r>
        <w:rPr>
          <w:rFonts w:hint="eastAsia"/>
        </w:rPr>
        <w:t>。</w:t>
      </w:r>
    </w:p>
    <w:p>
      <w:pPr>
        <w:pStyle w:val="23"/>
        <w:ind w:firstLine="630" w:firstLineChars="300"/>
      </w:pPr>
      <w:r>
        <w:rPr>
          <w:rFonts w:hint="eastAsia"/>
        </w:rPr>
        <w:t>本文件不适用于家用电冰箱、制冷自动售货机、冰淇淋机、葡萄酒柜、快速冷却柜、快速冷冻柜、非食品冷柜（如：恒温试验箱、超低温柜、医用冷柜、血液冷藏柜）</w:t>
      </w:r>
      <w:r>
        <w:rPr>
          <w:rFonts w:hint="eastAsia"/>
          <w:lang w:eastAsia="zh-CN"/>
        </w:rPr>
        <w:t>。</w:t>
      </w:r>
      <w:r>
        <w:t xml:space="preserve"> </w:t>
      </w:r>
    </w:p>
    <w:p>
      <w:pPr>
        <w:pStyle w:val="117"/>
        <w:spacing w:before="312" w:after="312"/>
      </w:pPr>
      <w:r>
        <w:rPr>
          <w:rFonts w:hint="eastAsia"/>
        </w:rPr>
        <w:t>规范性引用文件</w:t>
      </w:r>
    </w:p>
    <w:sdt>
      <w:sdtPr>
        <w:tag w:val="StandNameFile"/>
        <w:id w:val="-1821031262"/>
        <w:placeholder>
          <w:docPart w:val="DefaultPlaceholder_-1854013438"/>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Content>
        <w:p>
          <w:pPr>
            <w:pStyle w:val="23"/>
            <w:ind w:firstLine="420"/>
          </w:pPr>
          <w: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widowControl/>
        <w:ind w:left="420"/>
        <w:rPr>
          <w:rFonts w:cs="Times New Roman"/>
          <w:szCs w:val="21"/>
        </w:rPr>
      </w:pPr>
      <w:r>
        <w:rPr>
          <w:rFonts w:hint="eastAsia" w:cs="Times New Roman"/>
          <w:szCs w:val="21"/>
        </w:rPr>
        <w:t>GB/T 2829-2002  周期检验计数抽样程序及表（适用于对过程稳定性的检验）</w:t>
      </w:r>
    </w:p>
    <w:p>
      <w:pPr>
        <w:widowControl/>
        <w:ind w:left="420"/>
        <w:rPr>
          <w:rFonts w:cs="Times New Roman"/>
          <w:szCs w:val="21"/>
        </w:rPr>
      </w:pPr>
      <w:r>
        <w:rPr>
          <w:rFonts w:hint="eastAsia" w:cs="Times New Roman"/>
          <w:szCs w:val="21"/>
        </w:rPr>
        <w:t>GB/T 2828.1  计数抽样检验程序 第1部分：按接收质量限(AQL)检索的逐批检验抽样计划</w:t>
      </w:r>
    </w:p>
    <w:p>
      <w:pPr>
        <w:widowControl/>
        <w:ind w:left="420"/>
        <w:rPr>
          <w:rFonts w:cs="Times New Roman"/>
          <w:szCs w:val="21"/>
        </w:rPr>
      </w:pPr>
      <w:r>
        <w:rPr>
          <w:rFonts w:cs="Times New Roman"/>
          <w:szCs w:val="21"/>
        </w:rPr>
        <w:t>GB 4343.1  家用电器、电动工具和类似器具的电磁兼容要求  第l部分：发射</w:t>
      </w:r>
    </w:p>
    <w:p>
      <w:pPr>
        <w:widowControl/>
        <w:ind w:left="420"/>
        <w:rPr>
          <w:rFonts w:cs="Times New Roman"/>
          <w:szCs w:val="21"/>
        </w:rPr>
      </w:pPr>
      <w:r>
        <w:rPr>
          <w:rFonts w:cs="Times New Roman"/>
          <w:szCs w:val="21"/>
        </w:rPr>
        <w:t>GB 4706.1  家用和类似用途电器的安全  第l部分：通用要求</w:t>
      </w:r>
    </w:p>
    <w:p>
      <w:pPr>
        <w:widowControl/>
        <w:ind w:firstLine="420" w:firstLineChars="200"/>
        <w:rPr>
          <w:rFonts w:cs="Times New Roman"/>
          <w:szCs w:val="21"/>
        </w:rPr>
      </w:pPr>
      <w:r>
        <w:rPr>
          <w:rFonts w:cs="Times New Roman"/>
          <w:szCs w:val="21"/>
        </w:rPr>
        <w:t>GB 4706.102  家用和类似用途电器的安全带嵌装或远置式制冷剂冷凝装置或压缩机的商用制冷器具的特殊要求</w:t>
      </w:r>
    </w:p>
    <w:p>
      <w:pPr>
        <w:widowControl/>
        <w:ind w:left="420"/>
        <w:rPr>
          <w:rFonts w:cs="Times New Roman"/>
          <w:szCs w:val="21"/>
        </w:rPr>
      </w:pPr>
      <w:r>
        <w:rPr>
          <w:rFonts w:cs="Times New Roman"/>
          <w:szCs w:val="21"/>
        </w:rPr>
        <w:t>GB 4806.1  食品安全国家标准</w:t>
      </w:r>
      <w:r>
        <w:rPr>
          <w:rFonts w:hint="eastAsia" w:cs="Times New Roman"/>
          <w:szCs w:val="21"/>
        </w:rPr>
        <w:t xml:space="preserve"> </w:t>
      </w:r>
      <w:r>
        <w:rPr>
          <w:rFonts w:cs="Times New Roman"/>
          <w:szCs w:val="21"/>
        </w:rPr>
        <w:t>食品接触材料及制品通用安全要求</w:t>
      </w:r>
    </w:p>
    <w:p>
      <w:pPr>
        <w:widowControl/>
        <w:ind w:left="420"/>
        <w:rPr>
          <w:rFonts w:cs="Times New Roman"/>
          <w:szCs w:val="21"/>
        </w:rPr>
      </w:pPr>
      <w:r>
        <w:rPr>
          <w:rFonts w:hint="eastAsia" w:cs="Times New Roman"/>
          <w:szCs w:val="21"/>
        </w:rPr>
        <w:t>GB 4806.5  玻璃制品</w:t>
      </w:r>
    </w:p>
    <w:p>
      <w:pPr>
        <w:widowControl/>
        <w:ind w:left="420"/>
        <w:rPr>
          <w:rFonts w:cs="Times New Roman"/>
          <w:szCs w:val="21"/>
        </w:rPr>
      </w:pPr>
      <w:r>
        <w:rPr>
          <w:rFonts w:hint="eastAsia" w:cs="Times New Roman"/>
          <w:szCs w:val="21"/>
        </w:rPr>
        <w:t>GB 4806.6  食品接触用塑料树脂</w:t>
      </w:r>
    </w:p>
    <w:p>
      <w:pPr>
        <w:widowControl/>
        <w:ind w:left="420"/>
        <w:rPr>
          <w:rFonts w:cs="Times New Roman"/>
          <w:szCs w:val="21"/>
        </w:rPr>
      </w:pPr>
      <w:r>
        <w:rPr>
          <w:rFonts w:hint="eastAsia" w:cs="Times New Roman"/>
          <w:szCs w:val="21"/>
        </w:rPr>
        <w:t>GB 4806.7  食品安全国家标准 食品接触用塑料材料及制品</w:t>
      </w:r>
    </w:p>
    <w:p>
      <w:pPr>
        <w:widowControl/>
        <w:ind w:left="420"/>
        <w:rPr>
          <w:rFonts w:cs="Times New Roman"/>
          <w:szCs w:val="21"/>
        </w:rPr>
      </w:pPr>
      <w:r>
        <w:rPr>
          <w:w w:val="105"/>
        </w:rPr>
        <w:t>GB 4806.9  食品安全国家标准</w:t>
      </w:r>
      <w:r>
        <w:rPr>
          <w:rFonts w:hint="eastAsia"/>
          <w:w w:val="105"/>
        </w:rPr>
        <w:t xml:space="preserve"> </w:t>
      </w:r>
      <w:r>
        <w:rPr>
          <w:w w:val="105"/>
        </w:rPr>
        <w:t>食品接触用金属材料及制品</w:t>
      </w:r>
    </w:p>
    <w:p>
      <w:pPr>
        <w:widowControl/>
        <w:ind w:left="420"/>
        <w:rPr>
          <w:rFonts w:cs="Times New Roman"/>
          <w:szCs w:val="21"/>
        </w:rPr>
      </w:pPr>
      <w:r>
        <w:rPr>
          <w:rFonts w:hint="eastAsia"/>
        </w:rPr>
        <w:t>GB 4806.10  食品接触用涂料及涂层</w:t>
      </w:r>
    </w:p>
    <w:p>
      <w:pPr>
        <w:widowControl/>
        <w:ind w:left="420"/>
        <w:rPr>
          <w:rFonts w:cs="Times New Roman"/>
          <w:szCs w:val="21"/>
        </w:rPr>
      </w:pPr>
      <w:r>
        <w:rPr>
          <w:rFonts w:cs="Times New Roman"/>
          <w:szCs w:val="21"/>
        </w:rPr>
        <w:t>GB 17625.1  电磁兼容 限值 谐波电流发射限值(设备每相输入电流≤16A)</w:t>
      </w:r>
    </w:p>
    <w:p>
      <w:pPr>
        <w:widowControl/>
        <w:ind w:left="420"/>
        <w:rPr>
          <w:rFonts w:cs="Times New Roman"/>
          <w:szCs w:val="21"/>
        </w:rPr>
      </w:pPr>
      <w:r>
        <w:rPr>
          <w:rFonts w:hint="eastAsia" w:cs="Times New Roman"/>
          <w:szCs w:val="21"/>
        </w:rPr>
        <w:t>GB/T 21001.1  制冷陈列柜 第1部分：术语</w:t>
      </w:r>
    </w:p>
    <w:p>
      <w:pPr>
        <w:widowControl/>
        <w:ind w:left="420"/>
        <w:rPr>
          <w:rFonts w:cs="Times New Roman"/>
          <w:szCs w:val="21"/>
        </w:rPr>
      </w:pPr>
      <w:r>
        <w:rPr>
          <w:rFonts w:cs="Times New Roman"/>
          <w:szCs w:val="21"/>
        </w:rPr>
        <w:t>GB/T 21001.2  制冷陈列柜 第2部分：分类、要求和试验条件</w:t>
      </w:r>
    </w:p>
    <w:p>
      <w:pPr>
        <w:widowControl/>
        <w:ind w:left="420"/>
        <w:rPr>
          <w:rFonts w:cs="Times New Roman"/>
          <w:szCs w:val="21"/>
        </w:rPr>
      </w:pPr>
      <w:r>
        <w:rPr>
          <w:rFonts w:cs="Times New Roman"/>
          <w:szCs w:val="21"/>
        </w:rPr>
        <w:t>GB 21551.1  家用和类似用途电器的抗菌、除菌、净化功能通则</w:t>
      </w:r>
    </w:p>
    <w:p>
      <w:pPr>
        <w:widowControl/>
        <w:ind w:left="420"/>
        <w:rPr>
          <w:rFonts w:cs="Times New Roman"/>
          <w:szCs w:val="21"/>
        </w:rPr>
      </w:pPr>
      <w:r>
        <w:rPr>
          <w:rFonts w:cs="Times New Roman"/>
          <w:szCs w:val="21"/>
        </w:rPr>
        <w:t>GB 21551.2  家用和类似用途电器的抗菌、除菌、净化功能抗菌材料的特殊要求</w:t>
      </w:r>
    </w:p>
    <w:p>
      <w:pPr>
        <w:widowControl/>
        <w:ind w:left="420"/>
        <w:rPr>
          <w:rFonts w:cs="Times New Roman"/>
          <w:szCs w:val="21"/>
        </w:rPr>
      </w:pPr>
      <w:r>
        <w:rPr>
          <w:rFonts w:cs="Times New Roman"/>
          <w:szCs w:val="21"/>
        </w:rPr>
        <w:t>GB 21551.</w:t>
      </w:r>
      <w:r>
        <w:rPr>
          <w:rFonts w:hint="eastAsia" w:cs="Times New Roman"/>
          <w:szCs w:val="21"/>
        </w:rPr>
        <w:t>4  家用和类似用途电器的抗菌、除菌、净化功能</w:t>
      </w:r>
      <w:r>
        <w:rPr>
          <w:rFonts w:cs="Times New Roman"/>
          <w:szCs w:val="21"/>
        </w:rPr>
        <w:t xml:space="preserve"> 电冰箱的特殊要求</w:t>
      </w:r>
    </w:p>
    <w:p>
      <w:pPr>
        <w:widowControl/>
        <w:ind w:left="420"/>
        <w:rPr>
          <w:rFonts w:cs="Times New Roman"/>
          <w:szCs w:val="21"/>
        </w:rPr>
      </w:pPr>
      <w:r>
        <w:rPr>
          <w:rFonts w:cs="Times New Roman"/>
          <w:szCs w:val="21"/>
        </w:rPr>
        <w:t>GB/T 26125  电子电气产品 六种限用物质（铅、汞、镉、六价铬、多溴联苯和多溴二苯醚）的测定</w:t>
      </w:r>
    </w:p>
    <w:p>
      <w:pPr>
        <w:widowControl/>
        <w:ind w:left="420"/>
        <w:rPr>
          <w:rFonts w:cs="Times New Roman"/>
          <w:szCs w:val="21"/>
        </w:rPr>
      </w:pPr>
      <w:r>
        <w:rPr>
          <w:rFonts w:cs="Times New Roman"/>
          <w:szCs w:val="21"/>
        </w:rPr>
        <w:t>GB/T 26572  电子电气产品中限用物质的限量要求</w:t>
      </w:r>
    </w:p>
    <w:p>
      <w:pPr>
        <w:widowControl/>
        <w:ind w:left="420"/>
        <w:rPr>
          <w:rFonts w:cs="Times New Roman"/>
          <w:szCs w:val="21"/>
        </w:rPr>
      </w:pPr>
      <w:r>
        <w:rPr>
          <w:rFonts w:cs="Times New Roman"/>
          <w:szCs w:val="21"/>
        </w:rPr>
        <w:t>GB 26920.2  商用制冷器具能效限定值及能效等级  第2部分：自携冷凝机组商用冷柜</w:t>
      </w:r>
    </w:p>
    <w:p>
      <w:pPr>
        <w:widowControl/>
        <w:ind w:left="420"/>
        <w:rPr>
          <w:rFonts w:cs="Times New Roman"/>
          <w:szCs w:val="21"/>
        </w:rPr>
      </w:pPr>
      <w:r>
        <w:rPr>
          <w:rFonts w:hint="eastAsia" w:cs="Times New Roman"/>
          <w:szCs w:val="21"/>
        </w:rPr>
        <w:t>SBT 10794.1 商用冷柜　第1部分：术语</w:t>
      </w:r>
    </w:p>
    <w:p>
      <w:pPr>
        <w:widowControl/>
        <w:ind w:left="420"/>
        <w:rPr>
          <w:rFonts w:cs="Times New Roman"/>
          <w:szCs w:val="21"/>
        </w:rPr>
      </w:pPr>
      <w:r>
        <w:rPr>
          <w:rFonts w:cs="Times New Roman"/>
          <w:szCs w:val="21"/>
        </w:rPr>
        <w:t>SB/T 10794.2</w:t>
      </w:r>
      <w:r>
        <w:rPr>
          <w:rFonts w:hint="eastAsia" w:cs="Times New Roman"/>
          <w:szCs w:val="21"/>
        </w:rPr>
        <w:t>-2012</w:t>
      </w:r>
      <w:r>
        <w:rPr>
          <w:rFonts w:cs="Times New Roman"/>
          <w:szCs w:val="21"/>
        </w:rPr>
        <w:t xml:space="preserve">  商用冷柜  第2部分：分类、要求和试验条件</w:t>
      </w:r>
    </w:p>
    <w:p>
      <w:pPr>
        <w:pStyle w:val="117"/>
        <w:spacing w:before="312" w:after="312"/>
      </w:pPr>
      <w:bookmarkStart w:id="4" w:name="_Toc97195093"/>
      <w:bookmarkStart w:id="5" w:name="_Hlk130722279"/>
      <w:r>
        <w:rPr>
          <w:rFonts w:hint="eastAsia"/>
          <w:szCs w:val="21"/>
        </w:rPr>
        <w:t>术语和定义</w:t>
      </w:r>
      <w:bookmarkEnd w:id="4"/>
    </w:p>
    <w:sdt>
      <w:sdtPr>
        <w:rPr>
          <w:rFonts w:hint="eastAsia"/>
        </w:rPr>
        <w:id w:val="-1909835108"/>
        <w:placeholder>
          <w:docPart w:val="{1e539e67-bdf2-467d-ae1f-7f7985cc4a4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pPr>
            <w:pStyle w:val="23"/>
            <w:ind w:firstLine="420"/>
          </w:pPr>
          <w:bookmarkStart w:id="6" w:name="_Toc26986532"/>
          <w:bookmarkEnd w:id="6"/>
          <w:r>
            <w:rPr>
              <w:w w:val="105"/>
            </w:rPr>
            <w:t>GB/T</w:t>
          </w:r>
          <w:r>
            <w:rPr>
              <w:spacing w:val="-55"/>
              <w:w w:val="105"/>
            </w:rPr>
            <w:t xml:space="preserve"> </w:t>
          </w:r>
          <w:r>
            <w:rPr>
              <w:w w:val="105"/>
            </w:rPr>
            <w:t>21001.1、GB/T</w:t>
          </w:r>
          <w:r>
            <w:rPr>
              <w:spacing w:val="-55"/>
              <w:w w:val="105"/>
            </w:rPr>
            <w:t xml:space="preserve"> </w:t>
          </w:r>
          <w:r>
            <w:rPr>
              <w:w w:val="105"/>
            </w:rPr>
            <w:t>21001.2、SB/T</w:t>
          </w:r>
          <w:r>
            <w:rPr>
              <w:spacing w:val="-57"/>
              <w:w w:val="105"/>
            </w:rPr>
            <w:t xml:space="preserve"> </w:t>
          </w:r>
          <w:r>
            <w:rPr>
              <w:w w:val="105"/>
            </w:rPr>
            <w:t>10794.1</w:t>
          </w:r>
          <w:r>
            <w:rPr>
              <w:spacing w:val="-3"/>
              <w:w w:val="105"/>
            </w:rPr>
            <w:t>、</w:t>
          </w:r>
          <w:r>
            <w:rPr>
              <w:w w:val="105"/>
            </w:rPr>
            <w:t>SB/T</w:t>
          </w:r>
          <w:r>
            <w:rPr>
              <w:spacing w:val="-55"/>
              <w:w w:val="105"/>
            </w:rPr>
            <w:t xml:space="preserve"> </w:t>
          </w:r>
          <w:r>
            <w:rPr>
              <w:w w:val="105"/>
            </w:rPr>
            <w:t>10794.2</w:t>
          </w:r>
          <w:r>
            <w:rPr>
              <w:rFonts w:hint="eastAsia"/>
            </w:rPr>
            <w:t>界定的以及下列术语和定义适用于本文件。</w:t>
          </w:r>
        </w:p>
      </w:sdtContent>
    </w:sdt>
    <w:p>
      <w:pPr>
        <w:pStyle w:val="119"/>
        <w:spacing w:before="156" w:after="156"/>
        <w:rPr>
          <w:rFonts w:hAnsi="黑体"/>
          <w:szCs w:val="21"/>
        </w:rPr>
      </w:pPr>
      <w:r>
        <w:rPr>
          <w:rFonts w:hint="eastAsia" w:hAnsi="黑体"/>
          <w:szCs w:val="21"/>
        </w:rPr>
        <w:tab/>
      </w:r>
    </w:p>
    <w:p>
      <w:pPr>
        <w:pStyle w:val="119"/>
        <w:numPr>
          <w:ilvl w:val="1"/>
          <w:numId w:val="0"/>
        </w:numPr>
        <w:spacing w:beforeLines="0" w:afterLines="0"/>
        <w:ind w:firstLine="420" w:firstLineChars="200"/>
        <w:rPr>
          <w:rFonts w:hint="default" w:hAnsi="黑体"/>
          <w:lang w:val="en-US" w:eastAsia="zh-CN"/>
        </w:rPr>
      </w:pPr>
      <w:r>
        <w:rPr>
          <w:rFonts w:hint="default" w:hAnsi="黑体"/>
          <w:lang w:val="en-US"/>
        </w:rPr>
        <w:t>冷柜</w:t>
      </w:r>
      <w:r>
        <w:rPr>
          <w:rFonts w:hint="eastAsia" w:hAnsi="黑体"/>
          <w:lang w:val="en-US" w:eastAsia="zh-CN"/>
        </w:rPr>
        <w:t xml:space="preserve"> </w:t>
      </w:r>
      <w:r>
        <w:rPr>
          <w:rFonts w:hint="default" w:hAnsi="黑体"/>
          <w:lang w:val="en-US"/>
        </w:rPr>
        <w:t>refrigerated cabinets</w:t>
      </w:r>
    </w:p>
    <w:p>
      <w:pPr>
        <w:ind w:firstLine="378" w:firstLineChars="200"/>
        <w:rPr>
          <w:spacing w:val="-3"/>
        </w:rPr>
      </w:pPr>
      <w:r>
        <w:rPr>
          <w:spacing w:val="-5"/>
          <w:w w:val="95"/>
        </w:rPr>
        <w:t>带有制冷系统的储藏柜。可存放和</w:t>
      </w:r>
      <w:r>
        <w:rPr>
          <w:w w:val="95"/>
        </w:rPr>
        <w:t>（或</w:t>
      </w:r>
      <w:r>
        <w:rPr>
          <w:spacing w:val="-22"/>
          <w:w w:val="95"/>
        </w:rPr>
        <w:t>）</w:t>
      </w:r>
      <w:r>
        <w:rPr>
          <w:spacing w:val="-3"/>
          <w:w w:val="95"/>
        </w:rPr>
        <w:t xml:space="preserve">陈列冷藏或冷冻食品，并使存放的食品温度保持在规定的 </w:t>
      </w:r>
      <w:r>
        <w:rPr>
          <w:spacing w:val="-3"/>
        </w:rPr>
        <w:t>温度范围内。</w:t>
      </w:r>
    </w:p>
    <w:p>
      <w:pPr>
        <w:ind w:firstLine="408" w:firstLineChars="200"/>
        <w:rPr>
          <w:rFonts w:hint="eastAsia" w:eastAsia="宋体"/>
          <w:spacing w:val="-3"/>
          <w:lang w:val="en-US" w:eastAsia="zh-CN"/>
        </w:rPr>
      </w:pPr>
      <w:r>
        <w:rPr>
          <w:rFonts w:hint="default"/>
          <w:spacing w:val="-3"/>
          <w:lang w:val="en-US"/>
        </w:rPr>
        <w:t>[</w:t>
      </w:r>
      <w:r>
        <w:rPr>
          <w:rFonts w:hint="eastAsia"/>
          <w:spacing w:val="-3"/>
          <w:lang w:val="en-US" w:eastAsia="zh-CN"/>
        </w:rPr>
        <w:t>来源：</w:t>
      </w:r>
      <w:r>
        <w:rPr>
          <w:w w:val="105"/>
        </w:rPr>
        <w:t>SB/T</w:t>
      </w:r>
      <w:r>
        <w:rPr>
          <w:spacing w:val="-57"/>
          <w:w w:val="105"/>
        </w:rPr>
        <w:t xml:space="preserve"> </w:t>
      </w:r>
      <w:r>
        <w:rPr>
          <w:w w:val="105"/>
        </w:rPr>
        <w:t>10794.1</w:t>
      </w:r>
      <w:r>
        <w:rPr>
          <w:rFonts w:hint="eastAsia"/>
          <w:w w:val="105"/>
          <w:lang w:val="en-US" w:eastAsia="zh-CN"/>
        </w:rPr>
        <w:t>-2012，3.1.1</w:t>
      </w:r>
      <w:r>
        <w:rPr>
          <w:rFonts w:hint="default"/>
          <w:spacing w:val="-3"/>
          <w:lang w:val="en-US"/>
        </w:rPr>
        <w:t>]</w:t>
      </w:r>
    </w:p>
    <w:p>
      <w:pPr>
        <w:pStyle w:val="119"/>
        <w:spacing w:before="156" w:after="156"/>
        <w:rPr>
          <w:rFonts w:hAnsi="黑体"/>
          <w:szCs w:val="21"/>
        </w:rPr>
      </w:pPr>
    </w:p>
    <w:p>
      <w:pPr>
        <w:pStyle w:val="119"/>
        <w:numPr>
          <w:ilvl w:val="1"/>
          <w:numId w:val="0"/>
        </w:numPr>
        <w:spacing w:beforeLines="0" w:afterLines="0"/>
        <w:ind w:firstLine="420" w:firstLineChars="200"/>
        <w:rPr>
          <w:rFonts w:hint="default" w:hAnsi="黑体"/>
          <w:szCs w:val="21"/>
          <w:lang w:val="en-US"/>
        </w:rPr>
      </w:pPr>
      <w:r>
        <w:rPr>
          <w:rFonts w:hint="eastAsia" w:hAnsi="黑体"/>
          <w:szCs w:val="21"/>
        </w:rPr>
        <w:t>制冷</w:t>
      </w:r>
      <w:r>
        <w:rPr>
          <w:rFonts w:hAnsi="黑体"/>
        </w:rPr>
        <w:t>储藏柜</w:t>
      </w:r>
      <w:r>
        <w:rPr>
          <w:rFonts w:hint="default" w:hAnsi="黑体"/>
          <w:lang w:val="en-US"/>
        </w:rPr>
        <w:t xml:space="preserve"> refrigerated storage cabinets</w:t>
      </w:r>
    </w:p>
    <w:p>
      <w:pPr>
        <w:ind w:firstLine="420" w:firstLineChars="200"/>
      </w:pPr>
      <w:r>
        <w:t>无陈列功能的冷柜,通常为实体门冷柜。</w:t>
      </w:r>
    </w:p>
    <w:p>
      <w:pPr>
        <w:ind w:firstLine="408" w:firstLineChars="200"/>
        <w:rPr>
          <w:rFonts w:hint="eastAsia" w:eastAsia="宋体"/>
          <w:spacing w:val="-3"/>
          <w:lang w:val="en-US" w:eastAsia="zh-CN"/>
        </w:rPr>
      </w:pPr>
      <w:r>
        <w:rPr>
          <w:rFonts w:hint="default"/>
          <w:spacing w:val="-3"/>
          <w:lang w:val="en-US"/>
        </w:rPr>
        <w:t>[</w:t>
      </w:r>
      <w:r>
        <w:rPr>
          <w:rFonts w:hint="eastAsia"/>
          <w:spacing w:val="-3"/>
          <w:lang w:val="en-US" w:eastAsia="zh-CN"/>
        </w:rPr>
        <w:t>来源：</w:t>
      </w:r>
      <w:r>
        <w:rPr>
          <w:w w:val="105"/>
        </w:rPr>
        <w:t>SB/T</w:t>
      </w:r>
      <w:r>
        <w:rPr>
          <w:spacing w:val="-57"/>
          <w:w w:val="105"/>
        </w:rPr>
        <w:t xml:space="preserve"> </w:t>
      </w:r>
      <w:r>
        <w:rPr>
          <w:w w:val="105"/>
        </w:rPr>
        <w:t>10794.1</w:t>
      </w:r>
      <w:r>
        <w:rPr>
          <w:rFonts w:hint="eastAsia"/>
          <w:w w:val="105"/>
          <w:lang w:val="en-US" w:eastAsia="zh-CN"/>
        </w:rPr>
        <w:t>-2012，3.1.1</w:t>
      </w:r>
      <w:r>
        <w:rPr>
          <w:rFonts w:hint="default"/>
          <w:w w:val="105"/>
          <w:lang w:val="en-US" w:eastAsia="zh-CN"/>
        </w:rPr>
        <w:t>.1</w:t>
      </w:r>
      <w:r>
        <w:rPr>
          <w:rFonts w:hint="default"/>
          <w:spacing w:val="-3"/>
          <w:lang w:val="en-US"/>
        </w:rPr>
        <w:t>]</w:t>
      </w:r>
    </w:p>
    <w:p>
      <w:pPr>
        <w:pStyle w:val="119"/>
        <w:spacing w:before="156" w:after="156"/>
        <w:rPr>
          <w:rFonts w:hAnsi="黑体"/>
          <w:szCs w:val="21"/>
        </w:rPr>
      </w:pPr>
      <w:r>
        <w:rPr>
          <w:rFonts w:hint="eastAsia" w:hAnsi="黑体"/>
          <w:szCs w:val="21"/>
        </w:rPr>
        <w:tab/>
      </w:r>
    </w:p>
    <w:p>
      <w:pPr>
        <w:ind w:firstLine="420" w:firstLineChars="200"/>
        <w:rPr>
          <w:rFonts w:ascii="黑体" w:hAnsi="黑体" w:eastAsia="黑体"/>
          <w:szCs w:val="21"/>
        </w:rPr>
      </w:pPr>
      <w:r>
        <w:rPr>
          <w:rFonts w:hint="eastAsia" w:ascii="黑体" w:hAnsi="黑体" w:eastAsia="黑体"/>
          <w:szCs w:val="21"/>
        </w:rPr>
        <w:t>制冷工作</w:t>
      </w:r>
      <w:r>
        <w:rPr>
          <w:rFonts w:hint="eastAsia" w:ascii="黑体" w:hAnsi="Times New Roman" w:eastAsia="黑体" w:cstheme="minorBidi"/>
          <w:kern w:val="0"/>
          <w:sz w:val="21"/>
          <w:szCs w:val="20"/>
          <w:lang w:val="en-US" w:eastAsia="zh-CN" w:bidi="ar-SA"/>
        </w:rPr>
        <w:t>台</w:t>
      </w:r>
      <w:r>
        <w:rPr>
          <w:rFonts w:hint="default" w:ascii="黑体" w:hAnsi="Times New Roman" w:eastAsia="黑体" w:cstheme="minorBidi"/>
          <w:kern w:val="0"/>
          <w:sz w:val="21"/>
          <w:szCs w:val="20"/>
          <w:lang w:val="en-US" w:eastAsia="zh-CN" w:bidi="ar-SA"/>
        </w:rPr>
        <w:t xml:space="preserve"> horizontal refrigerated storage cabinets</w:t>
      </w:r>
    </w:p>
    <w:p>
      <w:pPr>
        <w:ind w:firstLine="420" w:firstLineChars="200"/>
        <w:rPr>
          <w:rFonts w:hint="eastAsia"/>
          <w:szCs w:val="21"/>
        </w:rPr>
      </w:pPr>
      <w:r>
        <w:rPr>
          <w:rFonts w:hint="eastAsia"/>
          <w:szCs w:val="21"/>
        </w:rPr>
        <w:t>上部具有操作台面，下部带制冷储藏空间的制冷储藏柜。</w:t>
      </w:r>
    </w:p>
    <w:p>
      <w:pPr>
        <w:ind w:firstLine="408" w:firstLineChars="200"/>
        <w:rPr>
          <w:rFonts w:hint="eastAsia" w:eastAsia="宋体"/>
          <w:spacing w:val="-3"/>
          <w:lang w:val="en-US" w:eastAsia="zh-CN"/>
        </w:rPr>
      </w:pPr>
      <w:r>
        <w:rPr>
          <w:rFonts w:hint="default"/>
          <w:spacing w:val="-3"/>
          <w:lang w:val="en-US"/>
        </w:rPr>
        <w:t>[</w:t>
      </w:r>
      <w:r>
        <w:rPr>
          <w:rFonts w:hint="eastAsia"/>
          <w:spacing w:val="-3"/>
          <w:lang w:val="en-US" w:eastAsia="zh-CN"/>
        </w:rPr>
        <w:t>来源：</w:t>
      </w:r>
      <w:r>
        <w:rPr>
          <w:w w:val="105"/>
        </w:rPr>
        <w:t>SB/T</w:t>
      </w:r>
      <w:r>
        <w:rPr>
          <w:spacing w:val="-57"/>
          <w:w w:val="105"/>
        </w:rPr>
        <w:t xml:space="preserve"> </w:t>
      </w:r>
      <w:r>
        <w:rPr>
          <w:w w:val="105"/>
        </w:rPr>
        <w:t>10794.1</w:t>
      </w:r>
      <w:r>
        <w:rPr>
          <w:rFonts w:hint="eastAsia"/>
          <w:w w:val="105"/>
          <w:lang w:val="en-US" w:eastAsia="zh-CN"/>
        </w:rPr>
        <w:t>-2012，3.1.</w:t>
      </w:r>
      <w:r>
        <w:rPr>
          <w:rFonts w:hint="default"/>
          <w:w w:val="105"/>
          <w:lang w:val="en-US" w:eastAsia="zh-CN"/>
        </w:rPr>
        <w:t>2</w:t>
      </w:r>
      <w:r>
        <w:rPr>
          <w:rFonts w:hint="default"/>
          <w:spacing w:val="-3"/>
          <w:lang w:val="en-US"/>
        </w:rPr>
        <w:t>]</w:t>
      </w:r>
    </w:p>
    <w:p>
      <w:pPr>
        <w:pStyle w:val="119"/>
        <w:spacing w:before="156" w:after="156"/>
      </w:pPr>
    </w:p>
    <w:p>
      <w:pPr>
        <w:pStyle w:val="119"/>
        <w:keepNext w:val="0"/>
        <w:keepLines w:val="0"/>
        <w:pageBreakBefore w:val="0"/>
        <w:numPr>
          <w:ilvl w:val="0"/>
          <w:numId w:val="0"/>
        </w:numPr>
        <w:kinsoku/>
        <w:wordWrap/>
        <w:overflowPunct/>
        <w:topLinePunct w:val="0"/>
        <w:autoSpaceDE/>
        <w:autoSpaceDN/>
        <w:bidi w:val="0"/>
        <w:adjustRightInd/>
        <w:snapToGrid/>
        <w:spacing w:beforeLines="0" w:afterLines="0"/>
        <w:ind w:firstLine="420" w:firstLineChars="200"/>
        <w:textAlignment w:val="auto"/>
        <w:rPr>
          <w:rFonts w:hint="default"/>
          <w:lang w:val="en-US"/>
        </w:rPr>
      </w:pPr>
      <w:r>
        <w:rPr>
          <w:rFonts w:hint="eastAsia"/>
        </w:rPr>
        <w:t>立式冷柜</w:t>
      </w:r>
      <w:r>
        <w:rPr>
          <w:rFonts w:hint="default"/>
          <w:lang w:val="en-US"/>
        </w:rPr>
        <w:t xml:space="preserve"> vertical refrigerated storage cabinets</w:t>
      </w:r>
    </w:p>
    <w:p>
      <w:pPr>
        <w:keepNext w:val="0"/>
        <w:keepLines w:val="0"/>
        <w:pageBreakBefore w:val="0"/>
        <w:kinsoku/>
        <w:wordWrap/>
        <w:overflowPunct/>
        <w:topLinePunct w:val="0"/>
        <w:autoSpaceDE/>
        <w:autoSpaceDN/>
        <w:bidi w:val="0"/>
        <w:adjustRightInd/>
        <w:snapToGrid/>
        <w:ind w:firstLine="420"/>
        <w:textAlignment w:val="auto"/>
        <w:rPr>
          <w:rFonts w:hint="eastAsia"/>
          <w:szCs w:val="21"/>
        </w:rPr>
      </w:pPr>
      <w:r>
        <w:rPr>
          <w:rFonts w:hint="eastAsia"/>
          <w:szCs w:val="21"/>
        </w:rPr>
        <w:t>包括半高立式、立式和推人式制冷储藏柜。</w:t>
      </w:r>
    </w:p>
    <w:p>
      <w:pPr>
        <w:ind w:firstLine="408" w:firstLineChars="200"/>
        <w:rPr>
          <w:rFonts w:hint="eastAsia" w:eastAsia="宋体"/>
          <w:spacing w:val="-3"/>
          <w:lang w:val="en-US" w:eastAsia="zh-CN"/>
        </w:rPr>
      </w:pPr>
      <w:r>
        <w:rPr>
          <w:rFonts w:hint="default"/>
          <w:spacing w:val="-3"/>
          <w:lang w:val="en-US"/>
        </w:rPr>
        <w:t>[</w:t>
      </w:r>
      <w:r>
        <w:rPr>
          <w:rFonts w:hint="eastAsia"/>
          <w:spacing w:val="-3"/>
          <w:lang w:val="en-US" w:eastAsia="zh-CN"/>
        </w:rPr>
        <w:t>来源：</w:t>
      </w:r>
      <w:r>
        <w:rPr>
          <w:w w:val="105"/>
        </w:rPr>
        <w:t>SB/T</w:t>
      </w:r>
      <w:r>
        <w:rPr>
          <w:spacing w:val="-57"/>
          <w:w w:val="105"/>
        </w:rPr>
        <w:t xml:space="preserve"> </w:t>
      </w:r>
      <w:r>
        <w:rPr>
          <w:w w:val="105"/>
        </w:rPr>
        <w:t>10794.1</w:t>
      </w:r>
      <w:r>
        <w:rPr>
          <w:rFonts w:hint="eastAsia"/>
          <w:w w:val="105"/>
          <w:lang w:val="en-US" w:eastAsia="zh-CN"/>
        </w:rPr>
        <w:t>-2012，3.1.</w:t>
      </w:r>
      <w:r>
        <w:rPr>
          <w:rFonts w:hint="default"/>
          <w:w w:val="105"/>
          <w:lang w:val="en-US" w:eastAsia="zh-CN"/>
        </w:rPr>
        <w:t>3</w:t>
      </w:r>
      <w:r>
        <w:rPr>
          <w:rFonts w:hint="default"/>
          <w:spacing w:val="-3"/>
          <w:lang w:val="en-US"/>
        </w:rPr>
        <w:t>]</w:t>
      </w:r>
    </w:p>
    <w:p>
      <w:pPr>
        <w:pStyle w:val="119"/>
        <w:spacing w:before="156" w:after="156"/>
      </w:pPr>
    </w:p>
    <w:p>
      <w:pPr>
        <w:ind w:firstLine="440" w:firstLineChars="200"/>
        <w:rPr>
          <w:rFonts w:hint="default" w:ascii="黑体" w:hAnsi="黑体" w:eastAsia="黑体"/>
          <w:szCs w:val="21"/>
          <w:lang w:val="en-US" w:eastAsia="zh-CN"/>
        </w:rPr>
      </w:pPr>
      <w:r>
        <w:rPr>
          <w:rFonts w:ascii="黑体" w:hAnsi="黑体" w:eastAsia="黑体"/>
          <w:w w:val="105"/>
          <w:szCs w:val="21"/>
        </w:rPr>
        <w:t>高效能商</w:t>
      </w:r>
      <w:r>
        <w:rPr>
          <w:rFonts w:hint="eastAsia" w:ascii="黑体" w:hAnsi="黑体" w:eastAsia="黑体"/>
          <w:w w:val="105"/>
          <w:szCs w:val="21"/>
          <w:lang w:val="en-US" w:eastAsia="zh-CN"/>
        </w:rPr>
        <w:t>用冷柜 high efficiency</w:t>
      </w:r>
      <w:r>
        <w:rPr>
          <w:rFonts w:hint="default" w:ascii="黑体" w:hAnsi="黑体" w:eastAsia="黑体"/>
          <w:w w:val="105"/>
          <w:szCs w:val="21"/>
          <w:lang w:val="en-US" w:eastAsia="zh-CN"/>
        </w:rPr>
        <w:t xml:space="preserve"> c</w:t>
      </w:r>
      <w:r>
        <w:rPr>
          <w:rFonts w:hint="eastAsia" w:ascii="黑体" w:hAnsi="黑体" w:eastAsia="黑体"/>
          <w:w w:val="105"/>
          <w:szCs w:val="21"/>
          <w:lang w:val="en-US" w:eastAsia="zh-CN"/>
        </w:rPr>
        <w:t xml:space="preserve">ommercial </w:t>
      </w:r>
      <w:r>
        <w:rPr>
          <w:rFonts w:hint="default" w:ascii="黑体" w:hAnsi="黑体" w:eastAsia="黑体"/>
          <w:w w:val="105"/>
          <w:szCs w:val="21"/>
          <w:lang w:val="en-US" w:eastAsia="zh-CN"/>
        </w:rPr>
        <w:t>r</w:t>
      </w:r>
      <w:r>
        <w:rPr>
          <w:rFonts w:hint="eastAsia" w:ascii="黑体" w:hAnsi="黑体" w:eastAsia="黑体"/>
          <w:w w:val="105"/>
          <w:szCs w:val="21"/>
          <w:lang w:val="en-US" w:eastAsia="zh-CN"/>
        </w:rPr>
        <w:t>efrigerated cabinets</w:t>
      </w:r>
    </w:p>
    <w:p>
      <w:pPr>
        <w:ind w:firstLine="420" w:firstLineChars="200"/>
        <w:rPr>
          <w:szCs w:val="21"/>
        </w:rPr>
      </w:pPr>
      <w:r>
        <w:rPr>
          <w:szCs w:val="21"/>
        </w:rPr>
        <w:t>能效指数、噪声、抗菌</w:t>
      </w:r>
      <w:r>
        <w:rPr>
          <w:rFonts w:hint="eastAsia"/>
          <w:szCs w:val="21"/>
          <w:lang w:eastAsia="zh-CN"/>
        </w:rPr>
        <w:t>和</w:t>
      </w:r>
      <w:r>
        <w:rPr>
          <w:szCs w:val="21"/>
        </w:rPr>
        <w:t>智能化</w:t>
      </w:r>
      <w:r>
        <w:rPr>
          <w:rFonts w:hint="eastAsia"/>
          <w:szCs w:val="21"/>
          <w:lang w:val="en-US" w:eastAsia="zh-CN"/>
        </w:rPr>
        <w:t>功能均</w:t>
      </w:r>
      <w:r>
        <w:rPr>
          <w:szCs w:val="21"/>
        </w:rPr>
        <w:t>符合本</w:t>
      </w:r>
      <w:r>
        <w:rPr>
          <w:rFonts w:hint="eastAsia"/>
          <w:szCs w:val="21"/>
          <w:lang w:eastAsia="zh-CN"/>
        </w:rPr>
        <w:t>文件</w:t>
      </w:r>
      <w:r>
        <w:rPr>
          <w:szCs w:val="21"/>
        </w:rPr>
        <w:t>要求</w:t>
      </w:r>
      <w:r>
        <w:rPr>
          <w:rFonts w:hint="eastAsia"/>
          <w:szCs w:val="21"/>
          <w:lang w:eastAsia="zh-CN"/>
        </w:rPr>
        <w:t>的商用冷柜</w:t>
      </w:r>
      <w:r>
        <w:rPr>
          <w:szCs w:val="21"/>
        </w:rPr>
        <w:t>。</w:t>
      </w:r>
    </w:p>
    <w:p>
      <w:pPr>
        <w:pStyle w:val="117"/>
        <w:spacing w:before="312" w:after="312"/>
        <w:rPr>
          <w:szCs w:val="21"/>
        </w:rPr>
      </w:pPr>
      <w:r>
        <w:rPr>
          <w:rFonts w:hint="eastAsia"/>
          <w:szCs w:val="21"/>
          <w:lang w:val="en-US" w:eastAsia="zh-CN"/>
        </w:rPr>
        <w:t>技术</w:t>
      </w:r>
      <w:r>
        <w:rPr>
          <w:rFonts w:hint="eastAsia"/>
          <w:szCs w:val="21"/>
        </w:rPr>
        <w:t>要求</w:t>
      </w:r>
    </w:p>
    <w:p>
      <w:pPr>
        <w:pStyle w:val="119"/>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一般条件</w:t>
      </w:r>
    </w:p>
    <w:p>
      <w:pPr>
        <w:pStyle w:val="23"/>
        <w:ind w:firstLine="42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商用</w:t>
      </w:r>
      <w:r>
        <w:rPr>
          <w:color w:val="000000" w:themeColor="text1"/>
          <w14:textFill>
            <w14:solidFill>
              <w14:schemeClr w14:val="tx1"/>
            </w14:solidFill>
          </w14:textFill>
        </w:rPr>
        <w:t>冷柜的一般条件应符合</w:t>
      </w:r>
      <w:r>
        <w:rPr>
          <w:rFonts w:hint="eastAsia"/>
          <w:color w:val="000000" w:themeColor="text1"/>
          <w14:textFill>
            <w14:solidFill>
              <w14:schemeClr w14:val="tx1"/>
            </w14:solidFill>
          </w14:textFill>
        </w:rPr>
        <w:t>GB/T 21001.2—2015中5.3.1</w:t>
      </w:r>
      <w:r>
        <w:rPr>
          <w:color w:val="000000" w:themeColor="text1"/>
          <w14:textFill>
            <w14:solidFill>
              <w14:schemeClr w14:val="tx1"/>
            </w14:solidFill>
          </w14:textFill>
        </w:rPr>
        <w:t>的规定。</w:t>
      </w:r>
    </w:p>
    <w:p>
      <w:pPr>
        <w:pStyle w:val="119"/>
        <w:spacing w:before="156" w:after="156"/>
        <w:rPr>
          <w:rFonts w:hAnsi="黑体"/>
          <w:szCs w:val="21"/>
        </w:rPr>
      </w:pPr>
      <w:r>
        <w:rPr>
          <w:rFonts w:hAnsi="黑体"/>
          <w:szCs w:val="21"/>
        </w:rPr>
        <w:t>总有效容积</w:t>
      </w:r>
    </w:p>
    <w:p>
      <w:pPr>
        <w:pStyle w:val="234"/>
      </w:pPr>
      <w:r>
        <w:rPr>
          <w:rFonts w:hint="eastAsia" w:hAnsi="宋体" w:cs="宋体"/>
          <w:color w:val="auto"/>
          <w:kern w:val="0"/>
          <w:lang w:eastAsia="zh-CN"/>
        </w:rPr>
        <w:t>商用</w:t>
      </w:r>
      <w:r>
        <w:t>冷柜的总有效容积</w:t>
      </w:r>
      <w:r>
        <w:rPr>
          <w:rFonts w:hint="eastAsia"/>
          <w:lang w:eastAsia="zh-CN"/>
        </w:rPr>
        <w:t>应</w:t>
      </w:r>
      <w:r>
        <w:t>符合SB/T 1079</w:t>
      </w:r>
      <w:r>
        <w:rPr>
          <w:rFonts w:hint="eastAsia"/>
        </w:rPr>
        <w:t>4.2—2012</w:t>
      </w:r>
      <w:r>
        <w:t>中附录</w:t>
      </w:r>
      <w:r>
        <w:rPr>
          <w:rFonts w:hint="eastAsia"/>
        </w:rPr>
        <w:t>A</w:t>
      </w:r>
      <w:r>
        <w:t>的</w:t>
      </w:r>
      <w:r>
        <w:rPr>
          <w:rFonts w:hint="eastAsia"/>
          <w:lang w:eastAsia="zh-CN"/>
        </w:rPr>
        <w:t>要求</w:t>
      </w:r>
      <w:r>
        <w:t>。</w:t>
      </w:r>
    </w:p>
    <w:p>
      <w:pPr>
        <w:pStyle w:val="119"/>
        <w:spacing w:before="156" w:after="156"/>
        <w:rPr>
          <w:rFonts w:hAnsi="黑体"/>
          <w:szCs w:val="21"/>
        </w:rPr>
      </w:pPr>
      <w:r>
        <w:rPr>
          <w:rFonts w:hint="eastAsia" w:hAnsi="黑体"/>
          <w:szCs w:val="21"/>
        </w:rPr>
        <w:t>制冷性能</w:t>
      </w:r>
    </w:p>
    <w:p>
      <w:pPr>
        <w:pStyle w:val="121"/>
        <w:spacing w:before="156" w:after="156"/>
        <w:rPr>
          <w:color w:val="auto"/>
        </w:rPr>
      </w:pPr>
      <w:r>
        <w:rPr>
          <w:color w:val="auto"/>
        </w:rPr>
        <w:t>温度</w:t>
      </w:r>
    </w:p>
    <w:p>
      <w:pPr>
        <w:pStyle w:val="234"/>
      </w:pPr>
      <w:r>
        <w:t>按</w:t>
      </w:r>
      <w:r>
        <w:rPr>
          <w:rFonts w:hint="eastAsia"/>
        </w:rPr>
        <w:t>5.3</w:t>
      </w:r>
      <w:r>
        <w:t>进行试验时，</w:t>
      </w:r>
      <w:r>
        <w:rPr>
          <w:rFonts w:hint="eastAsia" w:hAnsi="宋体" w:cs="宋体"/>
          <w:color w:val="auto"/>
          <w:kern w:val="0"/>
          <w:lang w:eastAsia="zh-CN"/>
        </w:rPr>
        <w:t>商用</w:t>
      </w:r>
      <w:r>
        <w:t>冷柜各个间室的温度试验应符合表</w:t>
      </w:r>
      <w:r>
        <w:rPr>
          <w:rFonts w:hint="eastAsia"/>
          <w:lang w:val="en-US" w:eastAsia="zh-CN"/>
        </w:rPr>
        <w:t>1</w:t>
      </w:r>
      <w:r>
        <w:t>的</w:t>
      </w:r>
      <w:r>
        <w:rPr>
          <w:rFonts w:hint="eastAsia"/>
          <w:lang w:eastAsia="zh-CN"/>
        </w:rPr>
        <w:t>要求</w:t>
      </w:r>
      <w:r>
        <w:t>。</w:t>
      </w:r>
    </w:p>
    <w:p>
      <w:pPr>
        <w:pStyle w:val="208"/>
        <w:tabs>
          <w:tab w:val="left" w:pos="0"/>
        </w:tabs>
        <w:spacing w:before="156" w:after="156"/>
      </w:pPr>
      <w:r>
        <w:rPr>
          <w:rFonts w:hint="eastAsia"/>
          <w:szCs w:val="21"/>
        </w:rPr>
        <w:t>M-包温度分类</w:t>
      </w:r>
    </w:p>
    <w:tbl>
      <w:tblPr>
        <w:tblStyle w:val="18"/>
        <w:tblW w:w="9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67"/>
        <w:gridCol w:w="1453"/>
        <w:gridCol w:w="1462"/>
        <w:gridCol w:w="1358"/>
        <w:gridCol w:w="2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tcBorders>
              <w:top w:val="single" w:color="auto" w:sz="12" w:space="0"/>
              <w:lef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间室类别</w:t>
            </w:r>
          </w:p>
        </w:tc>
        <w:tc>
          <w:tcPr>
            <w:tcW w:w="7927" w:type="dxa"/>
            <w:gridSpan w:val="5"/>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M-包温度分类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526" w:type="dxa"/>
            <w:vMerge w:val="continue"/>
            <w:tcBorders>
              <w:left w:val="single" w:color="auto" w:sz="12" w:space="0"/>
            </w:tcBorders>
            <w:vAlign w:val="center"/>
          </w:tcPr>
          <w:p>
            <w:pPr>
              <w:numPr>
                <w:ilvl w:val="0"/>
                <w:numId w:val="0"/>
              </w:numPr>
              <w:tabs>
                <w:tab w:val="left" w:pos="850"/>
              </w:tabs>
              <w:jc w:val="center"/>
              <w:rPr>
                <w:rFonts w:hAnsi="宋体" w:cs="宋体"/>
                <w:szCs w:val="18"/>
              </w:rPr>
            </w:pPr>
          </w:p>
        </w:tc>
        <w:tc>
          <w:tcPr>
            <w:tcW w:w="1167" w:type="dxa"/>
            <w:tcBorders>
              <w:top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冷柜间室温度等级</w:t>
            </w:r>
          </w:p>
        </w:tc>
        <w:tc>
          <w:tcPr>
            <w:tcW w:w="1453" w:type="dxa"/>
            <w:tcBorders>
              <w:top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i/>
                <w:iCs/>
                <w:sz w:val="18"/>
                <w:szCs w:val="18"/>
              </w:rPr>
              <w:t>θ</w:t>
            </w:r>
            <w:r>
              <w:rPr>
                <w:rFonts w:hint="eastAsia" w:hAnsi="宋体" w:cs="宋体"/>
                <w:sz w:val="18"/>
                <w:szCs w:val="18"/>
                <w:vertAlign w:val="subscript"/>
              </w:rPr>
              <w:t>ah</w:t>
            </w:r>
            <w:r>
              <w:rPr>
                <w:rFonts w:hint="eastAsia" w:hAnsi="宋体" w:cs="宋体"/>
                <w:sz w:val="18"/>
                <w:szCs w:val="18"/>
              </w:rPr>
              <w:t xml:space="preserve"> 最热 M 包的最高温度不高于的温度(℃)</w:t>
            </w:r>
          </w:p>
        </w:tc>
        <w:tc>
          <w:tcPr>
            <w:tcW w:w="1462" w:type="dxa"/>
            <w:tcBorders>
              <w:top w:val="single" w:color="auto" w:sz="12" w:space="0"/>
              <w:right w:val="single" w:color="auto" w:sz="4" w:space="0"/>
            </w:tcBorders>
            <w:vAlign w:val="center"/>
          </w:tcPr>
          <w:p>
            <w:pPr>
              <w:numPr>
                <w:ilvl w:val="0"/>
                <w:numId w:val="0"/>
              </w:numPr>
              <w:tabs>
                <w:tab w:val="left" w:pos="850"/>
              </w:tabs>
              <w:jc w:val="center"/>
              <w:rPr>
                <w:rFonts w:hAnsi="宋体" w:cs="宋体"/>
                <w:szCs w:val="18"/>
              </w:rPr>
            </w:pPr>
            <w:r>
              <w:rPr>
                <w:rFonts w:hint="eastAsia" w:hAnsi="宋体" w:cs="宋体"/>
                <w:i/>
                <w:iCs/>
                <w:sz w:val="18"/>
                <w:szCs w:val="18"/>
              </w:rPr>
              <w:t>θ</w:t>
            </w:r>
            <w:r>
              <w:rPr>
                <w:rFonts w:hint="eastAsia" w:hAnsi="宋体" w:cs="宋体"/>
                <w:sz w:val="18"/>
                <w:szCs w:val="18"/>
                <w:vertAlign w:val="subscript"/>
              </w:rPr>
              <w:t>b</w:t>
            </w:r>
            <w:r>
              <w:rPr>
                <w:rFonts w:hint="eastAsia" w:hAnsi="宋体" w:cs="宋体"/>
                <w:sz w:val="18"/>
                <w:szCs w:val="18"/>
              </w:rPr>
              <w:t xml:space="preserve"> 最冷 M 包的最低温度不低于的温度(℃)</w:t>
            </w:r>
          </w:p>
        </w:tc>
        <w:tc>
          <w:tcPr>
            <w:tcW w:w="1358" w:type="dxa"/>
            <w:tcBorders>
              <w:top w:val="single" w:color="auto" w:sz="12" w:space="0"/>
              <w:right w:val="single" w:color="auto" w:sz="4" w:space="0"/>
            </w:tcBorders>
            <w:vAlign w:val="center"/>
          </w:tcPr>
          <w:p>
            <w:pPr>
              <w:numPr>
                <w:ilvl w:val="0"/>
                <w:numId w:val="0"/>
              </w:numPr>
              <w:tabs>
                <w:tab w:val="left" w:pos="850"/>
              </w:tabs>
              <w:jc w:val="center"/>
              <w:rPr>
                <w:rFonts w:hAnsi="宋体" w:cs="宋体"/>
                <w:szCs w:val="18"/>
              </w:rPr>
            </w:pPr>
            <w:r>
              <w:rPr>
                <w:rFonts w:hint="eastAsia" w:hAnsi="宋体" w:cs="宋体"/>
                <w:i/>
                <w:iCs/>
                <w:sz w:val="18"/>
                <w:szCs w:val="18"/>
              </w:rPr>
              <w:t>θ</w:t>
            </w:r>
            <w:r>
              <w:rPr>
                <w:rFonts w:hint="eastAsia" w:hAnsi="宋体" w:cs="宋体"/>
                <w:sz w:val="18"/>
                <w:szCs w:val="18"/>
                <w:vertAlign w:val="subscript"/>
              </w:rPr>
              <w:t>al</w:t>
            </w:r>
            <w:r>
              <w:rPr>
                <w:rFonts w:hint="eastAsia" w:hAnsi="宋体" w:cs="宋体"/>
                <w:sz w:val="18"/>
                <w:szCs w:val="18"/>
              </w:rPr>
              <w:t>所有M 包的最低温度不高于的温度(℃)</w:t>
            </w:r>
          </w:p>
        </w:tc>
        <w:tc>
          <w:tcPr>
            <w:tcW w:w="2487" w:type="dxa"/>
            <w:tcBorders>
              <w:top w:val="single" w:color="auto" w:sz="12" w:space="0"/>
              <w:right w:val="single" w:color="auto" w:sz="12" w:space="0"/>
            </w:tcBorders>
            <w:vAlign w:val="center"/>
          </w:tcPr>
          <w:p>
            <w:pPr>
              <w:numPr>
                <w:ilvl w:val="0"/>
                <w:numId w:val="0"/>
              </w:numPr>
              <w:tabs>
                <w:tab w:val="left" w:pos="850"/>
              </w:tabs>
              <w:jc w:val="center"/>
              <w:rPr>
                <w:rFonts w:hAnsi="宋体" w:cs="宋体"/>
                <w:szCs w:val="18"/>
              </w:rPr>
            </w:pPr>
          </w:p>
          <w:p>
            <w:pPr>
              <w:numPr>
                <w:ilvl w:val="0"/>
                <w:numId w:val="0"/>
              </w:numPr>
              <w:tabs>
                <w:tab w:val="left" w:pos="850"/>
              </w:tabs>
              <w:jc w:val="center"/>
              <w:rPr>
                <w:rFonts w:hAnsi="宋体" w:cs="宋体"/>
                <w:szCs w:val="18"/>
              </w:rPr>
            </w:pPr>
            <w:r>
              <w:rPr>
                <w:rFonts w:hint="eastAsia" w:hAnsi="宋体" w:cs="宋体"/>
                <w:sz w:val="18"/>
                <w:szCs w:val="18"/>
              </w:rPr>
              <w:t>能耗试验特性温度(℃)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526" w:type="dxa"/>
            <w:vMerge w:val="restart"/>
            <w:tcBorders>
              <w:left w:val="single" w:color="auto" w:sz="12" w:space="0"/>
            </w:tcBorders>
            <w:vAlign w:val="center"/>
          </w:tcPr>
          <w:p>
            <w:pPr>
              <w:pStyle w:val="259"/>
              <w:numPr>
                <w:ilvl w:val="0"/>
                <w:numId w:val="0"/>
              </w:numPr>
              <w:tabs>
                <w:tab w:val="left" w:pos="850"/>
              </w:tabs>
              <w:spacing w:before="1"/>
              <w:ind w:left="90" w:right="83"/>
              <w:jc w:val="center"/>
              <w:rPr>
                <w:rFonts w:hAnsi="宋体" w:cs="宋体"/>
                <w:szCs w:val="18"/>
              </w:rPr>
            </w:pPr>
            <w:r>
              <w:rPr>
                <w:rFonts w:hint="eastAsia" w:hAnsi="宋体" w:cs="宋体"/>
                <w:sz w:val="18"/>
                <w:szCs w:val="18"/>
              </w:rPr>
              <w:t>冷藏室</w:t>
            </w:r>
          </w:p>
          <w:p>
            <w:pPr>
              <w:numPr>
                <w:ilvl w:val="0"/>
                <w:numId w:val="0"/>
              </w:numPr>
              <w:tabs>
                <w:tab w:val="left" w:pos="850"/>
              </w:tabs>
              <w:jc w:val="center"/>
              <w:rPr>
                <w:rFonts w:hAnsi="宋体" w:cs="宋体"/>
                <w:szCs w:val="18"/>
              </w:rPr>
            </w:pPr>
            <w:r>
              <w:rPr>
                <w:rFonts w:hint="eastAsia" w:hAnsi="宋体" w:cs="宋体"/>
                <w:sz w:val="18"/>
                <w:szCs w:val="18"/>
              </w:rPr>
              <w:t>-1℃以上</w:t>
            </w:r>
          </w:p>
        </w:tc>
        <w:tc>
          <w:tcPr>
            <w:tcW w:w="1167" w:type="dxa"/>
            <w:vAlign w:val="center"/>
          </w:tcPr>
          <w:p>
            <w:pPr>
              <w:numPr>
                <w:ilvl w:val="0"/>
                <w:numId w:val="0"/>
              </w:numPr>
              <w:tabs>
                <w:tab w:val="left" w:pos="850"/>
              </w:tabs>
              <w:jc w:val="center"/>
              <w:rPr>
                <w:rFonts w:hAnsi="宋体" w:cs="宋体"/>
                <w:szCs w:val="18"/>
              </w:rPr>
            </w:pPr>
            <w:r>
              <w:rPr>
                <w:rFonts w:hint="eastAsia" w:hAnsi="宋体" w:cs="宋体"/>
                <w:sz w:val="18"/>
                <w:szCs w:val="18"/>
              </w:rPr>
              <w:t>M1</w:t>
            </w:r>
          </w:p>
        </w:tc>
        <w:tc>
          <w:tcPr>
            <w:tcW w:w="1453" w:type="dxa"/>
            <w:vAlign w:val="center"/>
          </w:tcPr>
          <w:p>
            <w:pPr>
              <w:numPr>
                <w:ilvl w:val="0"/>
                <w:numId w:val="0"/>
              </w:numPr>
              <w:tabs>
                <w:tab w:val="left" w:pos="850"/>
              </w:tabs>
              <w:jc w:val="center"/>
              <w:rPr>
                <w:rFonts w:hAnsi="宋体" w:cs="宋体"/>
                <w:szCs w:val="18"/>
              </w:rPr>
            </w:pPr>
            <w:r>
              <w:rPr>
                <w:rFonts w:hint="eastAsia" w:hAnsi="宋体" w:cs="宋体"/>
                <w:sz w:val="18"/>
                <w:szCs w:val="18"/>
              </w:rPr>
              <w:t>+5</w:t>
            </w:r>
          </w:p>
        </w:tc>
        <w:tc>
          <w:tcPr>
            <w:tcW w:w="1462" w:type="dxa"/>
            <w:tcBorders>
              <w:right w:val="single" w:color="auto" w:sz="4"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-1</w:t>
            </w:r>
          </w:p>
        </w:tc>
        <w:tc>
          <w:tcPr>
            <w:tcW w:w="1358" w:type="dxa"/>
            <w:tcBorders>
              <w:right w:val="single" w:color="auto" w:sz="4"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w:t>
            </w:r>
          </w:p>
        </w:tc>
        <w:tc>
          <w:tcPr>
            <w:tcW w:w="2487" w:type="dxa"/>
            <w:tcBorders>
              <w:righ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i/>
                <w:iCs/>
                <w:sz w:val="18"/>
                <w:szCs w:val="18"/>
              </w:rPr>
              <w:t>t</w:t>
            </w:r>
            <w:r>
              <w:rPr>
                <w:rFonts w:hint="eastAsia" w:hAnsi="宋体" w:cs="宋体"/>
                <w:sz w:val="18"/>
                <w:szCs w:val="18"/>
                <w:vertAlign w:val="subscript"/>
              </w:rPr>
              <w:t>cm</w:t>
            </w:r>
            <w:r>
              <w:rPr>
                <w:rFonts w:hint="eastAsia" w:hAnsi="宋体" w:cs="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1526" w:type="dxa"/>
            <w:vMerge w:val="continue"/>
            <w:tcBorders>
              <w:left w:val="single" w:color="auto" w:sz="12" w:space="0"/>
            </w:tcBorders>
            <w:vAlign w:val="center"/>
          </w:tcPr>
          <w:p>
            <w:pPr>
              <w:numPr>
                <w:ilvl w:val="0"/>
                <w:numId w:val="0"/>
              </w:numPr>
              <w:tabs>
                <w:tab w:val="left" w:pos="850"/>
              </w:tabs>
              <w:jc w:val="center"/>
              <w:rPr>
                <w:rFonts w:hAnsi="宋体" w:cs="宋体"/>
                <w:szCs w:val="18"/>
              </w:rPr>
            </w:pPr>
          </w:p>
        </w:tc>
        <w:tc>
          <w:tcPr>
            <w:tcW w:w="1167" w:type="dxa"/>
            <w:vAlign w:val="center"/>
          </w:tcPr>
          <w:p>
            <w:pPr>
              <w:numPr>
                <w:ilvl w:val="0"/>
                <w:numId w:val="0"/>
              </w:numPr>
              <w:tabs>
                <w:tab w:val="left" w:pos="850"/>
              </w:tabs>
              <w:jc w:val="center"/>
              <w:rPr>
                <w:rFonts w:hAnsi="宋体" w:cs="宋体"/>
                <w:szCs w:val="18"/>
              </w:rPr>
            </w:pPr>
            <w:r>
              <w:rPr>
                <w:rFonts w:hint="eastAsia" w:hAnsi="宋体" w:cs="宋体"/>
                <w:sz w:val="18"/>
                <w:szCs w:val="18"/>
              </w:rPr>
              <w:t>M2</w:t>
            </w:r>
          </w:p>
        </w:tc>
        <w:tc>
          <w:tcPr>
            <w:tcW w:w="1453" w:type="dxa"/>
            <w:vAlign w:val="center"/>
          </w:tcPr>
          <w:p>
            <w:pPr>
              <w:numPr>
                <w:ilvl w:val="0"/>
                <w:numId w:val="0"/>
              </w:numPr>
              <w:tabs>
                <w:tab w:val="left" w:pos="850"/>
              </w:tabs>
              <w:jc w:val="center"/>
              <w:rPr>
                <w:rFonts w:hAnsi="宋体" w:cs="宋体"/>
                <w:szCs w:val="18"/>
              </w:rPr>
            </w:pPr>
            <w:r>
              <w:rPr>
                <w:rFonts w:hint="eastAsia" w:hAnsi="宋体" w:cs="宋体"/>
                <w:sz w:val="18"/>
                <w:szCs w:val="18"/>
              </w:rPr>
              <w:t>+7</w:t>
            </w:r>
          </w:p>
        </w:tc>
        <w:tc>
          <w:tcPr>
            <w:tcW w:w="1462" w:type="dxa"/>
            <w:tcBorders>
              <w:right w:val="single" w:color="auto" w:sz="4"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-1</w:t>
            </w:r>
          </w:p>
        </w:tc>
        <w:tc>
          <w:tcPr>
            <w:tcW w:w="1358" w:type="dxa"/>
            <w:tcBorders>
              <w:right w:val="single" w:color="auto" w:sz="4"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w:t>
            </w:r>
          </w:p>
        </w:tc>
        <w:tc>
          <w:tcPr>
            <w:tcW w:w="2487" w:type="dxa"/>
            <w:tcBorders>
              <w:righ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i/>
                <w:iCs/>
                <w:sz w:val="18"/>
                <w:szCs w:val="18"/>
              </w:rPr>
              <w:t>t</w:t>
            </w:r>
            <w:r>
              <w:rPr>
                <w:rFonts w:hint="eastAsia" w:hAnsi="宋体" w:cs="宋体"/>
                <w:sz w:val="18"/>
                <w:szCs w:val="18"/>
                <w:vertAlign w:val="subscript"/>
              </w:rPr>
              <w:t>cm</w:t>
            </w:r>
            <w:r>
              <w:rPr>
                <w:rFonts w:hint="eastAsia" w:hAnsi="宋体" w:cs="宋体"/>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1526" w:type="dxa"/>
            <w:vMerge w:val="continue"/>
            <w:tcBorders>
              <w:left w:val="single" w:color="auto" w:sz="12" w:space="0"/>
            </w:tcBorders>
            <w:vAlign w:val="center"/>
          </w:tcPr>
          <w:p>
            <w:pPr>
              <w:numPr>
                <w:ilvl w:val="0"/>
                <w:numId w:val="0"/>
              </w:numPr>
              <w:tabs>
                <w:tab w:val="left" w:pos="850"/>
              </w:tabs>
              <w:jc w:val="center"/>
              <w:rPr>
                <w:rFonts w:hAnsi="宋体" w:cs="宋体"/>
                <w:szCs w:val="18"/>
              </w:rPr>
            </w:pPr>
          </w:p>
        </w:tc>
        <w:tc>
          <w:tcPr>
            <w:tcW w:w="1167" w:type="dxa"/>
            <w:vAlign w:val="center"/>
          </w:tcPr>
          <w:p>
            <w:pPr>
              <w:numPr>
                <w:ilvl w:val="0"/>
                <w:numId w:val="0"/>
              </w:numPr>
              <w:tabs>
                <w:tab w:val="left" w:pos="850"/>
              </w:tabs>
              <w:jc w:val="center"/>
              <w:rPr>
                <w:rFonts w:hAnsi="宋体" w:cs="宋体"/>
                <w:szCs w:val="18"/>
              </w:rPr>
            </w:pPr>
            <w:r>
              <w:rPr>
                <w:rFonts w:hint="eastAsia" w:hAnsi="宋体" w:cs="宋体"/>
                <w:sz w:val="18"/>
                <w:szCs w:val="18"/>
              </w:rPr>
              <w:t>H1</w:t>
            </w:r>
          </w:p>
        </w:tc>
        <w:tc>
          <w:tcPr>
            <w:tcW w:w="1453" w:type="dxa"/>
            <w:vAlign w:val="center"/>
          </w:tcPr>
          <w:p>
            <w:pPr>
              <w:numPr>
                <w:ilvl w:val="0"/>
                <w:numId w:val="0"/>
              </w:numPr>
              <w:tabs>
                <w:tab w:val="left" w:pos="850"/>
              </w:tabs>
              <w:jc w:val="center"/>
              <w:rPr>
                <w:rFonts w:hAnsi="宋体" w:cs="宋体"/>
                <w:szCs w:val="18"/>
              </w:rPr>
            </w:pPr>
            <w:r>
              <w:rPr>
                <w:rFonts w:hint="eastAsia" w:hAnsi="宋体" w:cs="宋体"/>
                <w:sz w:val="18"/>
                <w:szCs w:val="18"/>
              </w:rPr>
              <w:t>+10</w:t>
            </w:r>
          </w:p>
        </w:tc>
        <w:tc>
          <w:tcPr>
            <w:tcW w:w="1462" w:type="dxa"/>
            <w:tcBorders>
              <w:right w:val="single" w:color="auto" w:sz="4"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+1</w:t>
            </w:r>
          </w:p>
        </w:tc>
        <w:tc>
          <w:tcPr>
            <w:tcW w:w="1358" w:type="dxa"/>
            <w:tcBorders>
              <w:right w:val="single" w:color="auto" w:sz="4"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w:t>
            </w:r>
          </w:p>
        </w:tc>
        <w:tc>
          <w:tcPr>
            <w:tcW w:w="2487" w:type="dxa"/>
            <w:tcBorders>
              <w:righ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i/>
                <w:iCs/>
                <w:sz w:val="18"/>
                <w:szCs w:val="18"/>
              </w:rPr>
              <w:t>t</w:t>
            </w:r>
            <w:r>
              <w:rPr>
                <w:rFonts w:hint="eastAsia" w:hAnsi="宋体" w:cs="宋体"/>
                <w:sz w:val="18"/>
                <w:szCs w:val="18"/>
                <w:vertAlign w:val="subscript"/>
              </w:rPr>
              <w:t>cm</w:t>
            </w:r>
            <w:r>
              <w:rPr>
                <w:rFonts w:hint="eastAsia" w:hAnsi="宋体" w:cs="宋体"/>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1526" w:type="dxa"/>
            <w:vMerge w:val="continue"/>
            <w:tcBorders>
              <w:left w:val="single" w:color="auto" w:sz="12" w:space="0"/>
            </w:tcBorders>
            <w:vAlign w:val="center"/>
          </w:tcPr>
          <w:p>
            <w:pPr>
              <w:numPr>
                <w:ilvl w:val="0"/>
                <w:numId w:val="0"/>
              </w:numPr>
              <w:tabs>
                <w:tab w:val="left" w:pos="850"/>
              </w:tabs>
              <w:jc w:val="center"/>
              <w:rPr>
                <w:rFonts w:hAnsi="宋体" w:cs="宋体"/>
                <w:szCs w:val="18"/>
              </w:rPr>
            </w:pPr>
          </w:p>
        </w:tc>
        <w:tc>
          <w:tcPr>
            <w:tcW w:w="1167" w:type="dxa"/>
            <w:vAlign w:val="center"/>
          </w:tcPr>
          <w:p>
            <w:pPr>
              <w:numPr>
                <w:ilvl w:val="0"/>
                <w:numId w:val="0"/>
              </w:numPr>
              <w:tabs>
                <w:tab w:val="left" w:pos="850"/>
              </w:tabs>
              <w:jc w:val="center"/>
              <w:rPr>
                <w:rFonts w:hAnsi="宋体" w:cs="宋体"/>
                <w:szCs w:val="18"/>
              </w:rPr>
            </w:pPr>
            <w:r>
              <w:rPr>
                <w:rFonts w:hint="eastAsia" w:hAnsi="宋体" w:cs="宋体"/>
                <w:sz w:val="18"/>
                <w:szCs w:val="18"/>
              </w:rPr>
              <w:t>H2</w:t>
            </w:r>
          </w:p>
        </w:tc>
        <w:tc>
          <w:tcPr>
            <w:tcW w:w="1453" w:type="dxa"/>
            <w:vAlign w:val="center"/>
          </w:tcPr>
          <w:p>
            <w:pPr>
              <w:numPr>
                <w:ilvl w:val="0"/>
                <w:numId w:val="0"/>
              </w:numPr>
              <w:tabs>
                <w:tab w:val="left" w:pos="850"/>
              </w:tabs>
              <w:jc w:val="center"/>
              <w:rPr>
                <w:rFonts w:hAnsi="宋体" w:cs="宋体"/>
                <w:szCs w:val="18"/>
              </w:rPr>
            </w:pPr>
            <w:r>
              <w:rPr>
                <w:rFonts w:hint="eastAsia" w:hAnsi="宋体" w:cs="宋体"/>
                <w:sz w:val="18"/>
                <w:szCs w:val="18"/>
              </w:rPr>
              <w:t>+10</w:t>
            </w:r>
          </w:p>
        </w:tc>
        <w:tc>
          <w:tcPr>
            <w:tcW w:w="1462" w:type="dxa"/>
            <w:tcBorders>
              <w:right w:val="single" w:color="auto" w:sz="4"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-1</w:t>
            </w:r>
          </w:p>
        </w:tc>
        <w:tc>
          <w:tcPr>
            <w:tcW w:w="1358" w:type="dxa"/>
            <w:tcBorders>
              <w:right w:val="single" w:color="auto" w:sz="4"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w:t>
            </w:r>
          </w:p>
        </w:tc>
        <w:tc>
          <w:tcPr>
            <w:tcW w:w="2487" w:type="dxa"/>
            <w:tcBorders>
              <w:righ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i/>
                <w:iCs/>
                <w:sz w:val="18"/>
                <w:szCs w:val="18"/>
              </w:rPr>
              <w:t>t</w:t>
            </w:r>
            <w:r>
              <w:rPr>
                <w:rFonts w:hint="eastAsia" w:hAnsi="宋体" w:cs="宋体"/>
                <w:sz w:val="18"/>
                <w:szCs w:val="18"/>
                <w:vertAlign w:val="subscript"/>
              </w:rPr>
              <w:t>cm</w:t>
            </w:r>
            <w:r>
              <w:rPr>
                <w:rFonts w:hint="eastAsia" w:hAnsi="宋体" w:cs="宋体"/>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526" w:type="dxa"/>
            <w:tcBorders>
              <w:lef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冷冻室、冷</w:t>
            </w:r>
          </w:p>
          <w:p>
            <w:pPr>
              <w:numPr>
                <w:ilvl w:val="0"/>
                <w:numId w:val="0"/>
              </w:numPr>
              <w:tabs>
                <w:tab w:val="left" w:pos="850"/>
              </w:tabs>
              <w:jc w:val="center"/>
              <w:rPr>
                <w:rFonts w:hAnsi="宋体" w:cs="宋体"/>
                <w:szCs w:val="18"/>
              </w:rPr>
            </w:pPr>
            <w:r>
              <w:rPr>
                <w:rFonts w:hint="eastAsia" w:hAnsi="宋体" w:cs="宋体"/>
                <w:sz w:val="18"/>
                <w:szCs w:val="18"/>
              </w:rPr>
              <w:t>冻储藏室</w:t>
            </w:r>
          </w:p>
        </w:tc>
        <w:tc>
          <w:tcPr>
            <w:tcW w:w="1167" w:type="dxa"/>
            <w:vAlign w:val="center"/>
          </w:tcPr>
          <w:p>
            <w:pPr>
              <w:numPr>
                <w:ilvl w:val="0"/>
                <w:numId w:val="0"/>
              </w:numPr>
              <w:tabs>
                <w:tab w:val="left" w:pos="850"/>
              </w:tabs>
              <w:jc w:val="center"/>
              <w:rPr>
                <w:rFonts w:hAnsi="宋体" w:cs="宋体"/>
                <w:szCs w:val="18"/>
              </w:rPr>
            </w:pPr>
            <w:r>
              <w:rPr>
                <w:rFonts w:hint="eastAsia" w:hAnsi="宋体" w:cs="宋体"/>
                <w:sz w:val="18"/>
                <w:szCs w:val="18"/>
              </w:rPr>
              <w:t>L1</w:t>
            </w:r>
          </w:p>
        </w:tc>
        <w:tc>
          <w:tcPr>
            <w:tcW w:w="1453" w:type="dxa"/>
            <w:vAlign w:val="center"/>
          </w:tcPr>
          <w:p>
            <w:pPr>
              <w:numPr>
                <w:ilvl w:val="0"/>
                <w:numId w:val="0"/>
              </w:numPr>
              <w:tabs>
                <w:tab w:val="left" w:pos="850"/>
              </w:tabs>
              <w:jc w:val="center"/>
              <w:rPr>
                <w:rFonts w:hAnsi="宋体" w:cs="宋体"/>
                <w:szCs w:val="18"/>
              </w:rPr>
            </w:pPr>
            <w:r>
              <w:rPr>
                <w:rFonts w:hint="eastAsia" w:hAnsi="宋体" w:cs="宋体"/>
                <w:sz w:val="18"/>
                <w:szCs w:val="18"/>
              </w:rPr>
              <w:t>-15</w:t>
            </w:r>
          </w:p>
        </w:tc>
        <w:tc>
          <w:tcPr>
            <w:tcW w:w="1462" w:type="dxa"/>
            <w:tcBorders>
              <w:right w:val="single" w:color="auto" w:sz="4"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w:t>
            </w:r>
          </w:p>
        </w:tc>
        <w:tc>
          <w:tcPr>
            <w:tcW w:w="1358" w:type="dxa"/>
            <w:tcBorders>
              <w:right w:val="single" w:color="auto" w:sz="4"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-18</w:t>
            </w:r>
          </w:p>
        </w:tc>
        <w:tc>
          <w:tcPr>
            <w:tcW w:w="2487" w:type="dxa"/>
            <w:tcBorders>
              <w:righ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i/>
                <w:iCs/>
                <w:sz w:val="18"/>
                <w:szCs w:val="18"/>
              </w:rPr>
              <w:t>θ</w:t>
            </w:r>
            <w:r>
              <w:rPr>
                <w:rFonts w:hint="eastAsia" w:hAnsi="宋体" w:cs="宋体"/>
                <w:sz w:val="18"/>
                <w:szCs w:val="18"/>
                <w:vertAlign w:val="subscript"/>
              </w:rPr>
              <w:t>ah</w:t>
            </w:r>
            <w:r>
              <w:rPr>
                <w:rFonts w:hint="eastAsia" w:hAnsi="宋体" w:cs="宋体"/>
                <w:sz w:val="18"/>
                <w:szCs w:val="18"/>
              </w:rPr>
              <w:t>≤-15，</w:t>
            </w:r>
            <w:r>
              <w:rPr>
                <w:rFonts w:hint="eastAsia" w:hAnsi="宋体" w:cs="宋体"/>
                <w:i/>
                <w:iCs/>
                <w:sz w:val="18"/>
                <w:szCs w:val="18"/>
              </w:rPr>
              <w:t>θ</w:t>
            </w:r>
            <w:r>
              <w:rPr>
                <w:rFonts w:hint="eastAsia" w:hAnsi="宋体" w:cs="宋体"/>
                <w:sz w:val="18"/>
                <w:szCs w:val="18"/>
                <w:vertAlign w:val="subscript"/>
              </w:rPr>
              <w:t>al</w:t>
            </w:r>
            <w:r>
              <w:rPr>
                <w:rFonts w:hint="eastAsia" w:hAnsi="宋体" w:cs="宋体"/>
                <w:sz w:val="18"/>
                <w:szCs w:val="18"/>
              </w:rPr>
              <w:t>=-18 或</w:t>
            </w:r>
            <w:r>
              <w:rPr>
                <w:rFonts w:hint="eastAsia" w:hAnsi="宋体" w:cs="宋体"/>
                <w:i/>
                <w:iCs/>
                <w:sz w:val="18"/>
                <w:szCs w:val="18"/>
              </w:rPr>
              <w:t>θ</w:t>
            </w:r>
            <w:r>
              <w:rPr>
                <w:rFonts w:hint="eastAsia" w:hAnsi="宋体" w:cs="宋体"/>
                <w:sz w:val="18"/>
                <w:szCs w:val="18"/>
                <w:vertAlign w:val="subscript"/>
              </w:rPr>
              <w:t>ah</w:t>
            </w:r>
            <w:r>
              <w:rPr>
                <w:rFonts w:hint="eastAsia" w:hAnsi="宋体" w:cs="宋体"/>
                <w:sz w:val="18"/>
                <w:szCs w:val="18"/>
              </w:rPr>
              <w:t xml:space="preserve"> =-15，</w:t>
            </w:r>
            <w:r>
              <w:rPr>
                <w:rFonts w:hint="eastAsia" w:hAnsi="宋体" w:cs="宋体"/>
                <w:i/>
                <w:iCs/>
                <w:sz w:val="18"/>
                <w:szCs w:val="18"/>
              </w:rPr>
              <w:t>θ</w:t>
            </w:r>
            <w:r>
              <w:rPr>
                <w:rFonts w:hint="eastAsia" w:hAnsi="宋体" w:cs="宋体"/>
                <w:sz w:val="18"/>
                <w:szCs w:val="18"/>
                <w:vertAlign w:val="subscript"/>
              </w:rPr>
              <w:t>al</w:t>
            </w:r>
            <w:r>
              <w:rPr>
                <w:rFonts w:hint="eastAsia" w:hAnsi="宋体" w:cs="宋体"/>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526" w:type="dxa"/>
            <w:vMerge w:val="restart"/>
            <w:tcBorders>
              <w:lef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冷冻储藏室</w:t>
            </w:r>
          </w:p>
          <w:p>
            <w:pPr>
              <w:numPr>
                <w:ilvl w:val="0"/>
                <w:numId w:val="0"/>
              </w:numPr>
              <w:tabs>
                <w:tab w:val="left" w:pos="850"/>
              </w:tabs>
              <w:ind w:left="0" w:leftChars="0" w:firstLine="0" w:firstLineChars="0"/>
              <w:jc w:val="center"/>
              <w:rPr>
                <w:rFonts w:ascii="宋体" w:hAnsi="宋体" w:eastAsia="宋体" w:cs="宋体"/>
                <w:kern w:val="2"/>
                <w:sz w:val="21"/>
                <w:szCs w:val="18"/>
                <w:lang w:val="en-US" w:eastAsia="zh-CN" w:bidi="ar-SA"/>
              </w:rPr>
            </w:pPr>
            <w:r>
              <w:rPr>
                <w:rFonts w:hint="eastAsia" w:hAnsi="宋体" w:cs="宋体"/>
                <w:sz w:val="18"/>
                <w:szCs w:val="18"/>
              </w:rPr>
              <w:t>-1℃以下</w:t>
            </w:r>
          </w:p>
        </w:tc>
        <w:tc>
          <w:tcPr>
            <w:tcW w:w="1167" w:type="dxa"/>
            <w:vAlign w:val="center"/>
          </w:tcPr>
          <w:p>
            <w:pPr>
              <w:numPr>
                <w:ilvl w:val="0"/>
                <w:numId w:val="0"/>
              </w:numPr>
              <w:tabs>
                <w:tab w:val="left" w:pos="850"/>
              </w:tabs>
              <w:ind w:left="0" w:leftChars="0" w:firstLine="0" w:firstLineChars="0"/>
              <w:jc w:val="center"/>
              <w:rPr>
                <w:rFonts w:ascii="宋体" w:hAnsi="宋体" w:eastAsia="宋体" w:cs="宋体"/>
                <w:kern w:val="2"/>
                <w:sz w:val="21"/>
                <w:szCs w:val="18"/>
                <w:lang w:val="en-US" w:eastAsia="zh-CN" w:bidi="ar-SA"/>
              </w:rPr>
            </w:pPr>
            <w:r>
              <w:rPr>
                <w:rFonts w:hint="eastAsia" w:hAnsi="宋体" w:cs="宋体"/>
                <w:sz w:val="18"/>
                <w:szCs w:val="18"/>
              </w:rPr>
              <w:t>L2</w:t>
            </w:r>
          </w:p>
        </w:tc>
        <w:tc>
          <w:tcPr>
            <w:tcW w:w="1453" w:type="dxa"/>
            <w:vAlign w:val="center"/>
          </w:tcPr>
          <w:p>
            <w:pPr>
              <w:numPr>
                <w:ilvl w:val="0"/>
                <w:numId w:val="0"/>
              </w:numPr>
              <w:tabs>
                <w:tab w:val="left" w:pos="850"/>
              </w:tabs>
              <w:ind w:left="0" w:leftChars="0" w:firstLine="0" w:firstLineChars="0"/>
              <w:jc w:val="center"/>
              <w:rPr>
                <w:rFonts w:ascii="宋体" w:hAnsi="宋体" w:eastAsia="宋体" w:cs="宋体"/>
                <w:kern w:val="2"/>
                <w:sz w:val="21"/>
                <w:szCs w:val="18"/>
                <w:lang w:val="en-US" w:eastAsia="zh-CN" w:bidi="ar-SA"/>
              </w:rPr>
            </w:pPr>
            <w:r>
              <w:rPr>
                <w:rFonts w:hint="eastAsia" w:hAnsi="宋体" w:cs="宋体"/>
                <w:sz w:val="18"/>
                <w:szCs w:val="18"/>
              </w:rPr>
              <w:t>-12</w:t>
            </w:r>
          </w:p>
        </w:tc>
        <w:tc>
          <w:tcPr>
            <w:tcW w:w="1462" w:type="dxa"/>
            <w:tcBorders>
              <w:right w:val="single" w:color="auto" w:sz="4" w:space="0"/>
            </w:tcBorders>
            <w:vAlign w:val="center"/>
          </w:tcPr>
          <w:p>
            <w:pPr>
              <w:numPr>
                <w:ilvl w:val="0"/>
                <w:numId w:val="0"/>
              </w:numPr>
              <w:tabs>
                <w:tab w:val="left" w:pos="850"/>
              </w:tabs>
              <w:ind w:left="0" w:leftChars="0" w:firstLine="0" w:firstLineChars="0"/>
              <w:jc w:val="center"/>
              <w:rPr>
                <w:rFonts w:ascii="宋体" w:hAnsi="宋体" w:eastAsia="宋体" w:cs="宋体"/>
                <w:kern w:val="2"/>
                <w:sz w:val="21"/>
                <w:szCs w:val="18"/>
                <w:lang w:val="en-US" w:eastAsia="zh-CN" w:bidi="ar-SA"/>
              </w:rPr>
            </w:pPr>
            <w:r>
              <w:rPr>
                <w:rFonts w:hint="eastAsia" w:hAnsi="宋体" w:cs="宋体"/>
                <w:sz w:val="18"/>
                <w:szCs w:val="18"/>
              </w:rPr>
              <w:t>——</w:t>
            </w:r>
          </w:p>
        </w:tc>
        <w:tc>
          <w:tcPr>
            <w:tcW w:w="1358" w:type="dxa"/>
            <w:tcBorders>
              <w:right w:val="single" w:color="auto" w:sz="4" w:space="0"/>
            </w:tcBorders>
            <w:vAlign w:val="center"/>
          </w:tcPr>
          <w:p>
            <w:pPr>
              <w:numPr>
                <w:ilvl w:val="0"/>
                <w:numId w:val="0"/>
              </w:numPr>
              <w:tabs>
                <w:tab w:val="left" w:pos="850"/>
              </w:tabs>
              <w:ind w:left="0" w:leftChars="0" w:firstLine="0" w:firstLineChars="0"/>
              <w:jc w:val="center"/>
              <w:rPr>
                <w:rFonts w:ascii="宋体" w:hAnsi="宋体" w:eastAsia="宋体" w:cs="宋体"/>
                <w:kern w:val="2"/>
                <w:sz w:val="21"/>
                <w:szCs w:val="18"/>
                <w:lang w:val="en-US" w:eastAsia="zh-CN" w:bidi="ar-SA"/>
              </w:rPr>
            </w:pPr>
            <w:r>
              <w:rPr>
                <w:rFonts w:hint="eastAsia" w:hAnsi="宋体" w:cs="宋体"/>
                <w:sz w:val="18"/>
                <w:szCs w:val="18"/>
              </w:rPr>
              <w:t>-18</w:t>
            </w:r>
          </w:p>
        </w:tc>
        <w:tc>
          <w:tcPr>
            <w:tcW w:w="2487" w:type="dxa"/>
            <w:tcBorders>
              <w:right w:val="single" w:color="auto" w:sz="12" w:space="0"/>
            </w:tcBorders>
            <w:vAlign w:val="center"/>
          </w:tcPr>
          <w:p>
            <w:pPr>
              <w:numPr>
                <w:ilvl w:val="0"/>
                <w:numId w:val="0"/>
              </w:numPr>
              <w:tabs>
                <w:tab w:val="left" w:pos="850"/>
              </w:tabs>
              <w:ind w:left="0" w:leftChars="0" w:firstLine="0" w:firstLineChars="0"/>
              <w:jc w:val="center"/>
              <w:rPr>
                <w:rFonts w:ascii="宋体" w:hAnsi="宋体" w:eastAsia="宋体" w:cs="宋体"/>
                <w:kern w:val="2"/>
                <w:sz w:val="21"/>
                <w:szCs w:val="18"/>
                <w:lang w:val="en-US" w:eastAsia="zh-CN" w:bidi="ar-SA"/>
              </w:rPr>
            </w:pPr>
            <w:r>
              <w:rPr>
                <w:rFonts w:hint="eastAsia" w:hAnsi="宋体" w:cs="宋体"/>
                <w:i/>
                <w:iCs/>
                <w:sz w:val="18"/>
                <w:szCs w:val="18"/>
              </w:rPr>
              <w:t>θ</w:t>
            </w:r>
            <w:r>
              <w:rPr>
                <w:rFonts w:hint="eastAsia" w:hAnsi="宋体" w:cs="宋体"/>
                <w:sz w:val="18"/>
                <w:szCs w:val="18"/>
                <w:vertAlign w:val="subscript"/>
              </w:rPr>
              <w:t>ah</w:t>
            </w:r>
            <w:r>
              <w:rPr>
                <w:rFonts w:hint="eastAsia" w:hAnsi="宋体" w:cs="宋体"/>
                <w:sz w:val="18"/>
                <w:szCs w:val="18"/>
              </w:rPr>
              <w:t>≤-12，</w:t>
            </w:r>
            <w:r>
              <w:rPr>
                <w:rFonts w:hint="eastAsia" w:hAnsi="宋体" w:cs="宋体"/>
                <w:i/>
                <w:iCs/>
                <w:sz w:val="18"/>
                <w:szCs w:val="18"/>
              </w:rPr>
              <w:t>θ</w:t>
            </w:r>
            <w:r>
              <w:rPr>
                <w:rFonts w:hint="eastAsia" w:hAnsi="宋体" w:cs="宋体"/>
                <w:sz w:val="18"/>
                <w:szCs w:val="18"/>
                <w:vertAlign w:val="subscript"/>
              </w:rPr>
              <w:t>al</w:t>
            </w:r>
            <w:r>
              <w:rPr>
                <w:rFonts w:hint="eastAsia" w:hAnsi="宋体" w:cs="宋体"/>
                <w:sz w:val="18"/>
                <w:szCs w:val="18"/>
              </w:rPr>
              <w:t>=-18 或</w:t>
            </w:r>
            <w:r>
              <w:rPr>
                <w:rFonts w:hint="eastAsia" w:hAnsi="宋体" w:cs="宋体"/>
                <w:i/>
                <w:iCs/>
                <w:sz w:val="18"/>
                <w:szCs w:val="18"/>
              </w:rPr>
              <w:t>θ</w:t>
            </w:r>
            <w:r>
              <w:rPr>
                <w:rFonts w:hint="eastAsia" w:hAnsi="宋体" w:cs="宋体"/>
                <w:sz w:val="18"/>
                <w:szCs w:val="18"/>
                <w:vertAlign w:val="subscript"/>
              </w:rPr>
              <w:t>ah</w:t>
            </w:r>
            <w:r>
              <w:rPr>
                <w:rFonts w:hint="eastAsia" w:hAnsi="宋体" w:cs="宋体"/>
                <w:sz w:val="18"/>
                <w:szCs w:val="18"/>
              </w:rPr>
              <w:t xml:space="preserve"> =-12，</w:t>
            </w:r>
            <w:r>
              <w:rPr>
                <w:rFonts w:hint="eastAsia" w:hAnsi="宋体" w:cs="宋体"/>
                <w:i/>
                <w:iCs/>
                <w:sz w:val="18"/>
                <w:szCs w:val="18"/>
              </w:rPr>
              <w:t>θ</w:t>
            </w:r>
            <w:r>
              <w:rPr>
                <w:rFonts w:hint="eastAsia" w:hAnsi="宋体" w:cs="宋体"/>
                <w:sz w:val="18"/>
                <w:szCs w:val="18"/>
                <w:vertAlign w:val="subscript"/>
              </w:rPr>
              <w:t>al</w:t>
            </w:r>
            <w:r>
              <w:rPr>
                <w:rFonts w:hint="eastAsia" w:hAnsi="宋体" w:cs="宋体"/>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526" w:type="dxa"/>
            <w:vMerge w:val="continue"/>
            <w:tcBorders>
              <w:left w:val="single" w:color="auto" w:sz="12" w:space="0"/>
            </w:tcBorders>
          </w:tcPr>
          <w:p>
            <w:pPr>
              <w:numPr>
                <w:ilvl w:val="0"/>
                <w:numId w:val="0"/>
              </w:numPr>
              <w:tabs>
                <w:tab w:val="left" w:pos="850"/>
              </w:tabs>
              <w:jc w:val="center"/>
              <w:rPr>
                <w:rFonts w:hAnsi="宋体" w:cs="宋体"/>
                <w:szCs w:val="18"/>
              </w:rPr>
            </w:pPr>
          </w:p>
        </w:tc>
        <w:tc>
          <w:tcPr>
            <w:tcW w:w="1167" w:type="dxa"/>
            <w:vAlign w:val="center"/>
          </w:tcPr>
          <w:p>
            <w:pPr>
              <w:numPr>
                <w:ilvl w:val="0"/>
                <w:numId w:val="0"/>
              </w:numPr>
              <w:tabs>
                <w:tab w:val="left" w:pos="850"/>
              </w:tabs>
              <w:ind w:left="0" w:leftChars="0" w:firstLine="0" w:firstLineChars="0"/>
              <w:jc w:val="center"/>
              <w:rPr>
                <w:rFonts w:ascii="宋体" w:hAnsi="宋体" w:eastAsia="宋体" w:cs="宋体"/>
                <w:kern w:val="2"/>
                <w:sz w:val="21"/>
                <w:szCs w:val="18"/>
                <w:lang w:val="en-US" w:eastAsia="zh-CN" w:bidi="ar-SA"/>
              </w:rPr>
            </w:pPr>
            <w:r>
              <w:rPr>
                <w:rFonts w:hint="eastAsia" w:hAnsi="宋体" w:cs="宋体"/>
                <w:sz w:val="18"/>
                <w:szCs w:val="18"/>
              </w:rPr>
              <w:t>L3</w:t>
            </w:r>
          </w:p>
        </w:tc>
        <w:tc>
          <w:tcPr>
            <w:tcW w:w="1453" w:type="dxa"/>
            <w:vAlign w:val="center"/>
          </w:tcPr>
          <w:p>
            <w:pPr>
              <w:numPr>
                <w:ilvl w:val="0"/>
                <w:numId w:val="0"/>
              </w:numPr>
              <w:tabs>
                <w:tab w:val="left" w:pos="850"/>
              </w:tabs>
              <w:ind w:left="0" w:leftChars="0" w:firstLine="0" w:firstLineChars="0"/>
              <w:jc w:val="center"/>
              <w:rPr>
                <w:rFonts w:ascii="宋体" w:hAnsi="宋体" w:eastAsia="宋体" w:cs="宋体"/>
                <w:kern w:val="2"/>
                <w:sz w:val="21"/>
                <w:szCs w:val="18"/>
                <w:lang w:val="en-US" w:eastAsia="zh-CN" w:bidi="ar-SA"/>
              </w:rPr>
            </w:pPr>
            <w:r>
              <w:rPr>
                <w:rFonts w:hint="eastAsia" w:hAnsi="宋体" w:cs="宋体"/>
                <w:sz w:val="18"/>
                <w:szCs w:val="18"/>
              </w:rPr>
              <w:t>-12</w:t>
            </w:r>
          </w:p>
        </w:tc>
        <w:tc>
          <w:tcPr>
            <w:tcW w:w="1462" w:type="dxa"/>
            <w:tcBorders>
              <w:right w:val="single" w:color="auto" w:sz="4" w:space="0"/>
            </w:tcBorders>
            <w:vAlign w:val="center"/>
          </w:tcPr>
          <w:p>
            <w:pPr>
              <w:numPr>
                <w:ilvl w:val="0"/>
                <w:numId w:val="0"/>
              </w:numPr>
              <w:tabs>
                <w:tab w:val="left" w:pos="850"/>
              </w:tabs>
              <w:ind w:left="0" w:leftChars="0" w:firstLine="0" w:firstLineChars="0"/>
              <w:jc w:val="center"/>
              <w:rPr>
                <w:rFonts w:ascii="宋体" w:hAnsi="宋体" w:eastAsia="宋体" w:cs="宋体"/>
                <w:kern w:val="2"/>
                <w:sz w:val="21"/>
                <w:szCs w:val="18"/>
                <w:lang w:val="en-US" w:eastAsia="zh-CN" w:bidi="ar-SA"/>
              </w:rPr>
            </w:pPr>
            <w:r>
              <w:rPr>
                <w:rFonts w:hint="eastAsia" w:hAnsi="宋体" w:cs="宋体"/>
                <w:sz w:val="18"/>
                <w:szCs w:val="18"/>
              </w:rPr>
              <w:t>——</w:t>
            </w:r>
          </w:p>
        </w:tc>
        <w:tc>
          <w:tcPr>
            <w:tcW w:w="1358" w:type="dxa"/>
            <w:tcBorders>
              <w:right w:val="single" w:color="auto" w:sz="4" w:space="0"/>
            </w:tcBorders>
            <w:vAlign w:val="center"/>
          </w:tcPr>
          <w:p>
            <w:pPr>
              <w:numPr>
                <w:ilvl w:val="0"/>
                <w:numId w:val="0"/>
              </w:numPr>
              <w:tabs>
                <w:tab w:val="left" w:pos="850"/>
              </w:tabs>
              <w:ind w:left="0" w:leftChars="0" w:firstLine="0" w:firstLineChars="0"/>
              <w:jc w:val="center"/>
              <w:rPr>
                <w:rFonts w:ascii="宋体" w:hAnsi="宋体" w:eastAsia="宋体" w:cs="宋体"/>
                <w:kern w:val="2"/>
                <w:sz w:val="21"/>
                <w:szCs w:val="18"/>
                <w:lang w:val="en-US" w:eastAsia="zh-CN" w:bidi="ar-SA"/>
              </w:rPr>
            </w:pPr>
            <w:r>
              <w:rPr>
                <w:rFonts w:hint="eastAsia" w:hAnsi="宋体" w:cs="宋体"/>
                <w:sz w:val="18"/>
                <w:szCs w:val="18"/>
              </w:rPr>
              <w:t>-15</w:t>
            </w:r>
          </w:p>
        </w:tc>
        <w:tc>
          <w:tcPr>
            <w:tcW w:w="2487" w:type="dxa"/>
            <w:tcBorders>
              <w:right w:val="single" w:color="auto" w:sz="12" w:space="0"/>
            </w:tcBorders>
            <w:vAlign w:val="center"/>
          </w:tcPr>
          <w:p>
            <w:pPr>
              <w:numPr>
                <w:ilvl w:val="0"/>
                <w:numId w:val="0"/>
              </w:numPr>
              <w:tabs>
                <w:tab w:val="left" w:pos="850"/>
              </w:tabs>
              <w:ind w:left="0" w:leftChars="0" w:firstLine="0" w:firstLineChars="0"/>
              <w:jc w:val="center"/>
              <w:rPr>
                <w:rFonts w:ascii="宋体" w:hAnsi="宋体" w:eastAsia="宋体" w:cs="宋体"/>
                <w:kern w:val="2"/>
                <w:sz w:val="21"/>
                <w:szCs w:val="18"/>
                <w:lang w:val="en-US" w:eastAsia="zh-CN" w:bidi="ar-SA"/>
              </w:rPr>
            </w:pPr>
            <w:r>
              <w:rPr>
                <w:rFonts w:hint="eastAsia" w:hAnsi="宋体" w:cs="宋体"/>
                <w:i/>
                <w:iCs/>
                <w:sz w:val="18"/>
                <w:szCs w:val="18"/>
              </w:rPr>
              <w:t>θ</w:t>
            </w:r>
            <w:r>
              <w:rPr>
                <w:rFonts w:hint="eastAsia" w:hAnsi="宋体" w:cs="宋体"/>
                <w:sz w:val="18"/>
                <w:szCs w:val="18"/>
                <w:vertAlign w:val="subscript"/>
              </w:rPr>
              <w:t>ah</w:t>
            </w:r>
            <w:r>
              <w:rPr>
                <w:rFonts w:hint="eastAsia" w:hAnsi="宋体" w:cs="宋体"/>
                <w:sz w:val="18"/>
                <w:szCs w:val="18"/>
              </w:rPr>
              <w:t>≤-12，</w:t>
            </w:r>
            <w:r>
              <w:rPr>
                <w:rFonts w:hint="eastAsia" w:hAnsi="宋体" w:cs="宋体"/>
                <w:i/>
                <w:iCs/>
                <w:sz w:val="18"/>
                <w:szCs w:val="18"/>
              </w:rPr>
              <w:t>θ</w:t>
            </w:r>
            <w:r>
              <w:rPr>
                <w:rFonts w:hint="eastAsia" w:hAnsi="宋体" w:cs="宋体"/>
                <w:sz w:val="18"/>
                <w:szCs w:val="18"/>
                <w:vertAlign w:val="subscript"/>
              </w:rPr>
              <w:t>al</w:t>
            </w:r>
            <w:r>
              <w:rPr>
                <w:rFonts w:hint="eastAsia" w:hAnsi="宋体" w:cs="宋体"/>
                <w:sz w:val="18"/>
                <w:szCs w:val="18"/>
              </w:rPr>
              <w:t>=-15 或</w:t>
            </w:r>
            <w:r>
              <w:rPr>
                <w:rFonts w:hint="eastAsia" w:hAnsi="宋体" w:cs="宋体"/>
                <w:i/>
                <w:iCs/>
                <w:sz w:val="18"/>
                <w:szCs w:val="18"/>
              </w:rPr>
              <w:t>θ</w:t>
            </w:r>
            <w:r>
              <w:rPr>
                <w:rFonts w:hint="eastAsia" w:hAnsi="宋体" w:cs="宋体"/>
                <w:sz w:val="18"/>
                <w:szCs w:val="18"/>
                <w:vertAlign w:val="subscript"/>
              </w:rPr>
              <w:t>ah</w:t>
            </w:r>
            <w:r>
              <w:rPr>
                <w:rFonts w:hint="eastAsia" w:hAnsi="宋体" w:cs="宋体"/>
                <w:sz w:val="18"/>
                <w:szCs w:val="18"/>
              </w:rPr>
              <w:t xml:space="preserve"> =-12，</w:t>
            </w:r>
            <w:r>
              <w:rPr>
                <w:rFonts w:hint="eastAsia" w:hAnsi="宋体" w:cs="宋体"/>
                <w:i/>
                <w:iCs/>
                <w:sz w:val="18"/>
                <w:szCs w:val="18"/>
              </w:rPr>
              <w:t>θ</w:t>
            </w:r>
            <w:r>
              <w:rPr>
                <w:rFonts w:hint="eastAsia" w:hAnsi="宋体" w:cs="宋体"/>
                <w:sz w:val="18"/>
                <w:szCs w:val="18"/>
                <w:vertAlign w:val="subscript"/>
              </w:rPr>
              <w:t>al</w:t>
            </w:r>
            <w:r>
              <w:rPr>
                <w:rFonts w:hint="eastAsia" w:hAnsi="宋体" w:cs="宋体"/>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526" w:type="dxa"/>
            <w:vMerge w:val="continue"/>
            <w:tcBorders>
              <w:left w:val="single" w:color="auto" w:sz="12" w:space="0"/>
            </w:tcBorders>
          </w:tcPr>
          <w:p>
            <w:pPr>
              <w:numPr>
                <w:ilvl w:val="0"/>
                <w:numId w:val="0"/>
              </w:numPr>
              <w:tabs>
                <w:tab w:val="left" w:pos="850"/>
              </w:tabs>
              <w:jc w:val="center"/>
              <w:rPr>
                <w:rFonts w:hAnsi="宋体" w:cs="宋体"/>
                <w:szCs w:val="18"/>
              </w:rPr>
            </w:pPr>
          </w:p>
        </w:tc>
        <w:tc>
          <w:tcPr>
            <w:tcW w:w="1167" w:type="dxa"/>
            <w:vAlign w:val="center"/>
          </w:tcPr>
          <w:p>
            <w:pPr>
              <w:numPr>
                <w:ilvl w:val="0"/>
                <w:numId w:val="0"/>
              </w:numPr>
              <w:tabs>
                <w:tab w:val="left" w:pos="850"/>
              </w:tabs>
              <w:ind w:left="0" w:leftChars="0" w:firstLine="0" w:firstLineChars="0"/>
              <w:jc w:val="center"/>
              <w:rPr>
                <w:rFonts w:ascii="宋体" w:hAnsi="宋体" w:eastAsia="宋体" w:cs="宋体"/>
                <w:kern w:val="2"/>
                <w:sz w:val="21"/>
                <w:szCs w:val="18"/>
                <w:lang w:val="en-US" w:eastAsia="zh-CN" w:bidi="ar-SA"/>
              </w:rPr>
            </w:pPr>
            <w:r>
              <w:rPr>
                <w:rFonts w:hint="eastAsia" w:hAnsi="宋体" w:cs="宋体"/>
                <w:sz w:val="18"/>
                <w:szCs w:val="18"/>
              </w:rPr>
              <w:t>L4</w:t>
            </w:r>
          </w:p>
        </w:tc>
        <w:tc>
          <w:tcPr>
            <w:tcW w:w="1453" w:type="dxa"/>
            <w:vAlign w:val="center"/>
          </w:tcPr>
          <w:p>
            <w:pPr>
              <w:numPr>
                <w:ilvl w:val="0"/>
                <w:numId w:val="0"/>
              </w:numPr>
              <w:tabs>
                <w:tab w:val="left" w:pos="850"/>
              </w:tabs>
              <w:ind w:left="0" w:leftChars="0" w:firstLine="0" w:firstLineChars="0"/>
              <w:jc w:val="center"/>
              <w:rPr>
                <w:rFonts w:ascii="宋体" w:hAnsi="宋体" w:eastAsia="宋体" w:cs="宋体"/>
                <w:kern w:val="2"/>
                <w:sz w:val="21"/>
                <w:szCs w:val="18"/>
                <w:lang w:val="en-US" w:eastAsia="zh-CN" w:bidi="ar-SA"/>
              </w:rPr>
            </w:pPr>
            <w:r>
              <w:rPr>
                <w:rFonts w:hint="eastAsia" w:hAnsi="宋体" w:cs="宋体"/>
                <w:sz w:val="18"/>
                <w:szCs w:val="18"/>
              </w:rPr>
              <w:t>-9</w:t>
            </w:r>
          </w:p>
        </w:tc>
        <w:tc>
          <w:tcPr>
            <w:tcW w:w="1462" w:type="dxa"/>
            <w:tcBorders>
              <w:right w:val="single" w:color="auto" w:sz="4" w:space="0"/>
            </w:tcBorders>
            <w:vAlign w:val="center"/>
          </w:tcPr>
          <w:p>
            <w:pPr>
              <w:numPr>
                <w:ilvl w:val="0"/>
                <w:numId w:val="0"/>
              </w:numPr>
              <w:tabs>
                <w:tab w:val="left" w:pos="850"/>
              </w:tabs>
              <w:ind w:left="0" w:leftChars="0" w:firstLine="0" w:firstLineChars="0"/>
              <w:jc w:val="center"/>
              <w:rPr>
                <w:rFonts w:ascii="宋体" w:hAnsi="宋体" w:eastAsia="宋体" w:cs="宋体"/>
                <w:kern w:val="2"/>
                <w:sz w:val="21"/>
                <w:szCs w:val="18"/>
                <w:lang w:val="en-US" w:eastAsia="zh-CN" w:bidi="ar-SA"/>
              </w:rPr>
            </w:pPr>
            <w:r>
              <w:rPr>
                <w:rFonts w:hint="eastAsia" w:hAnsi="宋体" w:cs="宋体"/>
                <w:sz w:val="18"/>
                <w:szCs w:val="18"/>
              </w:rPr>
              <w:t>——</w:t>
            </w:r>
          </w:p>
        </w:tc>
        <w:tc>
          <w:tcPr>
            <w:tcW w:w="1358" w:type="dxa"/>
            <w:tcBorders>
              <w:right w:val="single" w:color="auto" w:sz="4" w:space="0"/>
            </w:tcBorders>
            <w:vAlign w:val="center"/>
          </w:tcPr>
          <w:p>
            <w:pPr>
              <w:numPr>
                <w:ilvl w:val="0"/>
                <w:numId w:val="0"/>
              </w:numPr>
              <w:tabs>
                <w:tab w:val="left" w:pos="850"/>
              </w:tabs>
              <w:ind w:left="0" w:leftChars="0" w:firstLine="0" w:firstLineChars="0"/>
              <w:jc w:val="center"/>
              <w:rPr>
                <w:rFonts w:ascii="宋体" w:hAnsi="宋体" w:eastAsia="宋体" w:cs="宋体"/>
                <w:kern w:val="2"/>
                <w:sz w:val="21"/>
                <w:szCs w:val="18"/>
                <w:lang w:val="en-US" w:eastAsia="zh-CN" w:bidi="ar-SA"/>
              </w:rPr>
            </w:pPr>
            <w:r>
              <w:rPr>
                <w:rFonts w:hint="eastAsia" w:hAnsi="宋体" w:cs="宋体"/>
                <w:sz w:val="18"/>
                <w:szCs w:val="18"/>
              </w:rPr>
              <w:t>-12</w:t>
            </w:r>
          </w:p>
        </w:tc>
        <w:tc>
          <w:tcPr>
            <w:tcW w:w="2487" w:type="dxa"/>
            <w:tcBorders>
              <w:right w:val="single" w:color="auto" w:sz="12" w:space="0"/>
            </w:tcBorders>
            <w:vAlign w:val="center"/>
          </w:tcPr>
          <w:p>
            <w:pPr>
              <w:numPr>
                <w:ilvl w:val="0"/>
                <w:numId w:val="0"/>
              </w:numPr>
              <w:tabs>
                <w:tab w:val="left" w:pos="850"/>
              </w:tabs>
              <w:ind w:left="0" w:leftChars="0" w:firstLine="0" w:firstLineChars="0"/>
              <w:jc w:val="center"/>
              <w:rPr>
                <w:rFonts w:ascii="宋体" w:hAnsi="宋体" w:eastAsia="宋体" w:cs="宋体"/>
                <w:kern w:val="2"/>
                <w:sz w:val="21"/>
                <w:szCs w:val="18"/>
                <w:lang w:val="en-US" w:eastAsia="zh-CN" w:bidi="ar-SA"/>
              </w:rPr>
            </w:pPr>
            <w:r>
              <w:rPr>
                <w:rFonts w:hint="eastAsia" w:hAnsi="宋体" w:cs="宋体"/>
                <w:i/>
                <w:iCs/>
                <w:sz w:val="18"/>
                <w:szCs w:val="18"/>
              </w:rPr>
              <w:t>θ</w:t>
            </w:r>
            <w:r>
              <w:rPr>
                <w:rFonts w:hint="eastAsia" w:hAnsi="宋体" w:cs="宋体"/>
                <w:sz w:val="18"/>
                <w:szCs w:val="18"/>
                <w:vertAlign w:val="subscript"/>
              </w:rPr>
              <w:t>ah</w:t>
            </w:r>
            <w:r>
              <w:rPr>
                <w:rFonts w:hint="eastAsia" w:hAnsi="宋体" w:cs="宋体"/>
                <w:sz w:val="18"/>
                <w:szCs w:val="18"/>
              </w:rPr>
              <w:t>≤-,9，</w:t>
            </w:r>
            <w:r>
              <w:rPr>
                <w:rFonts w:hint="eastAsia" w:hAnsi="宋体" w:cs="宋体"/>
                <w:i/>
                <w:iCs/>
                <w:sz w:val="18"/>
                <w:szCs w:val="18"/>
              </w:rPr>
              <w:t>θ</w:t>
            </w:r>
            <w:r>
              <w:rPr>
                <w:rFonts w:hint="eastAsia" w:hAnsi="宋体" w:cs="宋体"/>
                <w:sz w:val="18"/>
                <w:szCs w:val="18"/>
                <w:vertAlign w:val="subscript"/>
              </w:rPr>
              <w:t>al</w:t>
            </w:r>
            <w:r>
              <w:rPr>
                <w:rFonts w:hint="eastAsia" w:hAnsi="宋体" w:cs="宋体"/>
                <w:sz w:val="18"/>
                <w:szCs w:val="18"/>
              </w:rPr>
              <w:t>=-12 或</w:t>
            </w:r>
            <w:r>
              <w:rPr>
                <w:rFonts w:hint="eastAsia" w:hAnsi="宋体" w:cs="宋体"/>
                <w:i/>
                <w:iCs/>
                <w:sz w:val="18"/>
                <w:szCs w:val="18"/>
              </w:rPr>
              <w:t>θ</w:t>
            </w:r>
            <w:r>
              <w:rPr>
                <w:rFonts w:hint="eastAsia" w:hAnsi="宋体" w:cs="宋体"/>
                <w:sz w:val="18"/>
                <w:szCs w:val="18"/>
                <w:vertAlign w:val="subscript"/>
              </w:rPr>
              <w:t>ah</w:t>
            </w:r>
            <w:r>
              <w:rPr>
                <w:rFonts w:hint="eastAsia" w:hAnsi="宋体" w:cs="宋体"/>
                <w:sz w:val="18"/>
                <w:szCs w:val="18"/>
              </w:rPr>
              <w:t xml:space="preserve"> =-9，</w:t>
            </w:r>
            <w:r>
              <w:rPr>
                <w:rFonts w:hint="eastAsia" w:hAnsi="宋体" w:cs="宋体"/>
                <w:i/>
                <w:iCs/>
                <w:sz w:val="18"/>
                <w:szCs w:val="18"/>
              </w:rPr>
              <w:t>θ</w:t>
            </w:r>
            <w:r>
              <w:rPr>
                <w:rFonts w:hint="eastAsia" w:hAnsi="宋体" w:cs="宋体"/>
                <w:sz w:val="18"/>
                <w:szCs w:val="18"/>
                <w:vertAlign w:val="subscript"/>
              </w:rPr>
              <w:t>al</w:t>
            </w:r>
            <w:r>
              <w:rPr>
                <w:rFonts w:hint="eastAsia" w:hAnsi="宋体" w:cs="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526" w:type="dxa"/>
            <w:vMerge w:val="continue"/>
            <w:tcBorders>
              <w:left w:val="single" w:color="auto" w:sz="12" w:space="0"/>
              <w:bottom w:val="single" w:color="auto" w:sz="12" w:space="0"/>
            </w:tcBorders>
          </w:tcPr>
          <w:p>
            <w:pPr>
              <w:numPr>
                <w:ilvl w:val="0"/>
                <w:numId w:val="0"/>
              </w:numPr>
              <w:tabs>
                <w:tab w:val="left" w:pos="850"/>
              </w:tabs>
              <w:jc w:val="center"/>
              <w:rPr>
                <w:rFonts w:hAnsi="宋体" w:cs="宋体"/>
                <w:szCs w:val="18"/>
              </w:rPr>
            </w:pPr>
          </w:p>
        </w:tc>
        <w:tc>
          <w:tcPr>
            <w:tcW w:w="1167" w:type="dxa"/>
            <w:tcBorders>
              <w:bottom w:val="single" w:color="auto" w:sz="12" w:space="0"/>
            </w:tcBorders>
            <w:vAlign w:val="center"/>
          </w:tcPr>
          <w:p>
            <w:pPr>
              <w:numPr>
                <w:ilvl w:val="0"/>
                <w:numId w:val="0"/>
              </w:numPr>
              <w:tabs>
                <w:tab w:val="left" w:pos="850"/>
              </w:tabs>
              <w:ind w:left="0" w:leftChars="0" w:firstLine="0" w:firstLineChars="0"/>
              <w:jc w:val="center"/>
              <w:rPr>
                <w:rFonts w:ascii="宋体" w:hAnsi="宋体" w:eastAsia="宋体" w:cs="宋体"/>
                <w:kern w:val="2"/>
                <w:sz w:val="21"/>
                <w:szCs w:val="18"/>
                <w:lang w:val="en-US" w:eastAsia="zh-CN" w:bidi="ar-SA"/>
              </w:rPr>
            </w:pPr>
            <w:r>
              <w:rPr>
                <w:rFonts w:hint="eastAsia" w:hAnsi="宋体" w:cs="宋体"/>
                <w:sz w:val="18"/>
                <w:szCs w:val="18"/>
              </w:rPr>
              <w:t>L5</w:t>
            </w:r>
          </w:p>
        </w:tc>
        <w:tc>
          <w:tcPr>
            <w:tcW w:w="1453" w:type="dxa"/>
            <w:tcBorders>
              <w:bottom w:val="single" w:color="auto" w:sz="12" w:space="0"/>
            </w:tcBorders>
            <w:vAlign w:val="center"/>
          </w:tcPr>
          <w:p>
            <w:pPr>
              <w:numPr>
                <w:ilvl w:val="0"/>
                <w:numId w:val="0"/>
              </w:numPr>
              <w:tabs>
                <w:tab w:val="left" w:pos="850"/>
              </w:tabs>
              <w:ind w:left="0" w:leftChars="0" w:firstLine="0" w:firstLineChars="0"/>
              <w:jc w:val="center"/>
              <w:rPr>
                <w:rFonts w:ascii="宋体" w:hAnsi="宋体" w:eastAsia="宋体" w:cs="宋体"/>
                <w:kern w:val="2"/>
                <w:sz w:val="21"/>
                <w:szCs w:val="18"/>
                <w:lang w:val="en-US" w:eastAsia="zh-CN" w:bidi="ar-SA"/>
              </w:rPr>
            </w:pPr>
            <w:r>
              <w:rPr>
                <w:rFonts w:hint="eastAsia" w:hAnsi="宋体" w:cs="宋体"/>
                <w:sz w:val="18"/>
                <w:szCs w:val="18"/>
              </w:rPr>
              <w:t>-3</w:t>
            </w:r>
          </w:p>
        </w:tc>
        <w:tc>
          <w:tcPr>
            <w:tcW w:w="1462" w:type="dxa"/>
            <w:tcBorders>
              <w:bottom w:val="single" w:color="auto" w:sz="12" w:space="0"/>
              <w:right w:val="single" w:color="auto" w:sz="4" w:space="0"/>
            </w:tcBorders>
            <w:vAlign w:val="center"/>
          </w:tcPr>
          <w:p>
            <w:pPr>
              <w:numPr>
                <w:ilvl w:val="0"/>
                <w:numId w:val="0"/>
              </w:numPr>
              <w:tabs>
                <w:tab w:val="left" w:pos="850"/>
              </w:tabs>
              <w:ind w:left="0" w:leftChars="0" w:firstLine="0" w:firstLineChars="0"/>
              <w:jc w:val="center"/>
              <w:rPr>
                <w:rFonts w:ascii="宋体" w:hAnsi="宋体" w:eastAsia="宋体" w:cs="宋体"/>
                <w:kern w:val="2"/>
                <w:sz w:val="21"/>
                <w:szCs w:val="18"/>
                <w:lang w:val="en-US" w:eastAsia="zh-CN" w:bidi="ar-SA"/>
              </w:rPr>
            </w:pPr>
            <w:r>
              <w:rPr>
                <w:rFonts w:hint="eastAsia" w:hAnsi="宋体" w:cs="宋体"/>
                <w:sz w:val="18"/>
                <w:szCs w:val="18"/>
              </w:rPr>
              <w:t>——</w:t>
            </w:r>
          </w:p>
        </w:tc>
        <w:tc>
          <w:tcPr>
            <w:tcW w:w="1358" w:type="dxa"/>
            <w:tcBorders>
              <w:bottom w:val="single" w:color="auto" w:sz="12" w:space="0"/>
              <w:right w:val="single" w:color="auto" w:sz="4" w:space="0"/>
            </w:tcBorders>
            <w:vAlign w:val="center"/>
          </w:tcPr>
          <w:p>
            <w:pPr>
              <w:numPr>
                <w:ilvl w:val="0"/>
                <w:numId w:val="0"/>
              </w:numPr>
              <w:tabs>
                <w:tab w:val="left" w:pos="850"/>
              </w:tabs>
              <w:ind w:left="0" w:leftChars="0" w:firstLine="0" w:firstLineChars="0"/>
              <w:jc w:val="center"/>
              <w:rPr>
                <w:rFonts w:ascii="宋体" w:hAnsi="宋体" w:eastAsia="宋体" w:cs="宋体"/>
                <w:kern w:val="2"/>
                <w:sz w:val="21"/>
                <w:szCs w:val="18"/>
                <w:lang w:val="en-US" w:eastAsia="zh-CN" w:bidi="ar-SA"/>
              </w:rPr>
            </w:pPr>
            <w:r>
              <w:rPr>
                <w:rFonts w:hint="eastAsia" w:hAnsi="宋体" w:cs="宋体"/>
                <w:sz w:val="18"/>
                <w:szCs w:val="18"/>
              </w:rPr>
              <w:t>-6</w:t>
            </w:r>
          </w:p>
        </w:tc>
        <w:tc>
          <w:tcPr>
            <w:tcW w:w="2487" w:type="dxa"/>
            <w:tcBorders>
              <w:bottom w:val="single" w:color="auto" w:sz="12" w:space="0"/>
              <w:right w:val="single" w:color="auto" w:sz="12" w:space="0"/>
            </w:tcBorders>
            <w:vAlign w:val="center"/>
          </w:tcPr>
          <w:p>
            <w:pPr>
              <w:numPr>
                <w:ilvl w:val="0"/>
                <w:numId w:val="0"/>
              </w:numPr>
              <w:tabs>
                <w:tab w:val="left" w:pos="850"/>
              </w:tabs>
              <w:ind w:left="0" w:leftChars="0" w:firstLine="0" w:firstLineChars="0"/>
              <w:jc w:val="center"/>
              <w:rPr>
                <w:rFonts w:ascii="宋体" w:hAnsi="宋体" w:eastAsia="宋体" w:cs="宋体"/>
                <w:kern w:val="2"/>
                <w:sz w:val="21"/>
                <w:szCs w:val="18"/>
                <w:lang w:val="en-US" w:eastAsia="zh-CN" w:bidi="ar-SA"/>
              </w:rPr>
            </w:pPr>
            <w:r>
              <w:rPr>
                <w:rFonts w:hint="eastAsia" w:hAnsi="宋体" w:cs="宋体"/>
                <w:i/>
                <w:iCs/>
                <w:sz w:val="18"/>
                <w:szCs w:val="18"/>
              </w:rPr>
              <w:t>θ</w:t>
            </w:r>
            <w:r>
              <w:rPr>
                <w:rFonts w:hint="eastAsia" w:hAnsi="宋体" w:cs="宋体"/>
                <w:sz w:val="18"/>
                <w:szCs w:val="18"/>
                <w:vertAlign w:val="subscript"/>
              </w:rPr>
              <w:t>ah</w:t>
            </w:r>
            <w:r>
              <w:rPr>
                <w:rFonts w:hint="eastAsia" w:hAnsi="宋体" w:cs="宋体"/>
                <w:sz w:val="18"/>
                <w:szCs w:val="18"/>
              </w:rPr>
              <w:t>≤-3，</w:t>
            </w:r>
            <w:r>
              <w:rPr>
                <w:rFonts w:hint="eastAsia" w:hAnsi="宋体" w:cs="宋体"/>
                <w:i/>
                <w:iCs/>
                <w:sz w:val="18"/>
                <w:szCs w:val="18"/>
              </w:rPr>
              <w:t>θ</w:t>
            </w:r>
            <w:r>
              <w:rPr>
                <w:rFonts w:hint="eastAsia" w:hAnsi="宋体" w:cs="宋体"/>
                <w:sz w:val="18"/>
                <w:szCs w:val="18"/>
                <w:vertAlign w:val="subscript"/>
              </w:rPr>
              <w:t>al</w:t>
            </w:r>
            <w:r>
              <w:rPr>
                <w:rFonts w:hint="eastAsia" w:hAnsi="宋体" w:cs="宋体"/>
                <w:sz w:val="18"/>
                <w:szCs w:val="18"/>
              </w:rPr>
              <w:t>=-6 或</w:t>
            </w:r>
            <w:r>
              <w:rPr>
                <w:rFonts w:hint="eastAsia" w:hAnsi="宋体" w:cs="宋体"/>
                <w:i/>
                <w:iCs/>
                <w:sz w:val="18"/>
                <w:szCs w:val="18"/>
              </w:rPr>
              <w:t>θ</w:t>
            </w:r>
            <w:r>
              <w:rPr>
                <w:rFonts w:hint="eastAsia" w:hAnsi="宋体" w:cs="宋体"/>
                <w:sz w:val="18"/>
                <w:szCs w:val="18"/>
                <w:vertAlign w:val="subscript"/>
              </w:rPr>
              <w:t>ah</w:t>
            </w:r>
            <w:r>
              <w:rPr>
                <w:rFonts w:hint="eastAsia" w:hAnsi="宋体" w:cs="宋体"/>
                <w:sz w:val="18"/>
                <w:szCs w:val="18"/>
              </w:rPr>
              <w:t xml:space="preserve"> =-3，</w:t>
            </w:r>
            <w:r>
              <w:rPr>
                <w:rFonts w:hint="eastAsia" w:hAnsi="宋体" w:cs="宋体"/>
                <w:i/>
                <w:iCs/>
                <w:sz w:val="18"/>
                <w:szCs w:val="18"/>
              </w:rPr>
              <w:t>θ</w:t>
            </w:r>
            <w:r>
              <w:rPr>
                <w:rFonts w:hint="eastAsia" w:hAnsi="宋体" w:cs="宋体"/>
                <w:sz w:val="18"/>
                <w:szCs w:val="18"/>
                <w:vertAlign w:val="subscript"/>
              </w:rPr>
              <w:t>al</w:t>
            </w:r>
            <w:r>
              <w:rPr>
                <w:rFonts w:hint="eastAsia" w:hAnsi="宋体" w:cs="宋体"/>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526" w:type="dxa"/>
            <w:tcBorders>
              <w:left w:val="single" w:color="auto" w:sz="12" w:space="0"/>
            </w:tcBorders>
          </w:tcPr>
          <w:p>
            <w:pPr>
              <w:numPr>
                <w:ilvl w:val="0"/>
                <w:numId w:val="0"/>
              </w:numPr>
              <w:tabs>
                <w:tab w:val="left" w:pos="850"/>
              </w:tabs>
              <w:jc w:val="center"/>
              <w:rPr>
                <w:rFonts w:hAnsi="宋体" w:cs="宋体"/>
                <w:szCs w:val="18"/>
              </w:rPr>
            </w:pPr>
            <w:r>
              <w:rPr>
                <w:rFonts w:hint="eastAsia" w:hAnsi="宋体" w:cs="宋体"/>
                <w:sz w:val="18"/>
                <w:szCs w:val="18"/>
              </w:rPr>
              <w:t>特定温度冷冻储藏室（-1℃以 下，标明额定工作温度</w:t>
            </w:r>
            <w:r>
              <w:rPr>
                <w:rFonts w:hint="eastAsia" w:hAnsi="宋体" w:cs="宋体"/>
                <w:i/>
                <w:iCs/>
                <w:sz w:val="18"/>
                <w:szCs w:val="18"/>
              </w:rPr>
              <w:t>t</w:t>
            </w:r>
            <w:r>
              <w:rPr>
                <w:rFonts w:hint="eastAsia" w:hAnsi="宋体" w:cs="宋体"/>
                <w:sz w:val="18"/>
                <w:szCs w:val="18"/>
                <w:vertAlign w:val="subscript"/>
              </w:rPr>
              <w:t>cm</w:t>
            </w:r>
            <w:r>
              <w:rPr>
                <w:rFonts w:hint="eastAsia" w:hAnsi="宋体" w:cs="宋体"/>
                <w:sz w:val="18"/>
                <w:szCs w:val="18"/>
              </w:rPr>
              <w:t>）</w:t>
            </w:r>
          </w:p>
        </w:tc>
        <w:tc>
          <w:tcPr>
            <w:tcW w:w="1167" w:type="dxa"/>
            <w:vAlign w:val="center"/>
          </w:tcPr>
          <w:p>
            <w:pPr>
              <w:numPr>
                <w:ilvl w:val="0"/>
                <w:numId w:val="0"/>
              </w:numPr>
              <w:tabs>
                <w:tab w:val="left" w:pos="850"/>
              </w:tabs>
              <w:jc w:val="center"/>
              <w:rPr>
                <w:rFonts w:hAnsi="宋体" w:cs="宋体"/>
                <w:szCs w:val="18"/>
              </w:rPr>
            </w:pPr>
            <w:r>
              <w:rPr>
                <w:rFonts w:hint="eastAsia" w:hAnsi="宋体" w:cs="宋体"/>
                <w:sz w:val="18"/>
                <w:szCs w:val="18"/>
              </w:rPr>
              <w:t>S</w:t>
            </w:r>
          </w:p>
        </w:tc>
        <w:tc>
          <w:tcPr>
            <w:tcW w:w="1453" w:type="dxa"/>
            <w:vAlign w:val="center"/>
          </w:tcPr>
          <w:p>
            <w:pPr>
              <w:numPr>
                <w:ilvl w:val="0"/>
                <w:numId w:val="0"/>
              </w:numPr>
              <w:tabs>
                <w:tab w:val="left" w:pos="850"/>
              </w:tabs>
              <w:jc w:val="center"/>
              <w:rPr>
                <w:rFonts w:hAnsi="宋体" w:cs="宋体"/>
                <w:szCs w:val="18"/>
              </w:rPr>
            </w:pPr>
            <w:r>
              <w:rPr>
                <w:rFonts w:hint="eastAsia" w:hAnsi="宋体" w:cs="宋体"/>
                <w:sz w:val="18"/>
                <w:szCs w:val="18"/>
              </w:rPr>
              <w:t>额定</w:t>
            </w:r>
            <w:r>
              <w:rPr>
                <w:rFonts w:hint="eastAsia" w:hAnsi="宋体" w:cs="宋体"/>
                <w:i/>
                <w:iCs/>
                <w:sz w:val="18"/>
                <w:szCs w:val="18"/>
              </w:rPr>
              <w:t>t</w:t>
            </w:r>
            <w:r>
              <w:rPr>
                <w:rFonts w:hint="eastAsia" w:hAnsi="宋体" w:cs="宋体"/>
                <w:sz w:val="18"/>
                <w:szCs w:val="18"/>
                <w:vertAlign w:val="subscript"/>
              </w:rPr>
              <w:t>cm</w:t>
            </w:r>
            <w:r>
              <w:rPr>
                <w:rFonts w:hint="eastAsia" w:hAnsi="宋体" w:cs="宋体"/>
                <w:sz w:val="18"/>
                <w:szCs w:val="18"/>
              </w:rPr>
              <w:t>+3</w:t>
            </w:r>
          </w:p>
        </w:tc>
        <w:tc>
          <w:tcPr>
            <w:tcW w:w="1462" w:type="dxa"/>
            <w:tcBorders>
              <w:right w:val="single" w:color="auto" w:sz="4"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w:t>
            </w:r>
          </w:p>
        </w:tc>
        <w:tc>
          <w:tcPr>
            <w:tcW w:w="1358" w:type="dxa"/>
            <w:tcBorders>
              <w:right w:val="single" w:color="auto" w:sz="4"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额定</w:t>
            </w:r>
            <w:r>
              <w:rPr>
                <w:rFonts w:hint="eastAsia" w:hAnsi="宋体" w:cs="宋体"/>
                <w:i/>
                <w:iCs/>
                <w:sz w:val="18"/>
                <w:szCs w:val="18"/>
              </w:rPr>
              <w:t>t</w:t>
            </w:r>
            <w:r>
              <w:rPr>
                <w:rFonts w:hint="eastAsia" w:hAnsi="宋体" w:cs="宋体"/>
                <w:sz w:val="18"/>
                <w:szCs w:val="18"/>
                <w:vertAlign w:val="subscript"/>
              </w:rPr>
              <w:t>dm</w:t>
            </w:r>
          </w:p>
        </w:tc>
        <w:tc>
          <w:tcPr>
            <w:tcW w:w="2487" w:type="dxa"/>
            <w:tcBorders>
              <w:righ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i/>
                <w:iCs/>
                <w:sz w:val="18"/>
                <w:szCs w:val="18"/>
              </w:rPr>
              <w:t>θ</w:t>
            </w:r>
            <w:r>
              <w:rPr>
                <w:rFonts w:hint="eastAsia" w:hAnsi="宋体" w:cs="宋体"/>
                <w:sz w:val="18"/>
                <w:szCs w:val="18"/>
                <w:vertAlign w:val="subscript"/>
              </w:rPr>
              <w:t>ah</w:t>
            </w:r>
            <w:r>
              <w:rPr>
                <w:rFonts w:hint="eastAsia" w:hAnsi="宋体" w:cs="宋体"/>
                <w:sz w:val="18"/>
                <w:szCs w:val="18"/>
              </w:rPr>
              <w:t xml:space="preserve"> =额定</w:t>
            </w:r>
            <w:r>
              <w:rPr>
                <w:rFonts w:hint="eastAsia" w:hAnsi="宋体" w:cs="宋体"/>
                <w:i/>
                <w:iCs/>
                <w:sz w:val="18"/>
                <w:szCs w:val="18"/>
              </w:rPr>
              <w:t>t</w:t>
            </w:r>
            <w:r>
              <w:rPr>
                <w:rFonts w:hint="eastAsia" w:hAnsi="宋体" w:cs="宋体"/>
                <w:sz w:val="18"/>
                <w:szCs w:val="18"/>
                <w:vertAlign w:val="subscript"/>
              </w:rPr>
              <w:t>dm</w:t>
            </w:r>
            <w:r>
              <w:rPr>
                <w:rFonts w:hint="eastAsia" w:hAnsi="宋体" w:cs="宋体"/>
                <w:sz w:val="18"/>
                <w:szCs w:val="18"/>
              </w:rPr>
              <w:t>+3，</w:t>
            </w:r>
          </w:p>
          <w:p>
            <w:pPr>
              <w:numPr>
                <w:ilvl w:val="0"/>
                <w:numId w:val="0"/>
              </w:numPr>
              <w:tabs>
                <w:tab w:val="left" w:pos="850"/>
              </w:tabs>
              <w:jc w:val="center"/>
              <w:rPr>
                <w:rFonts w:hAnsi="宋体" w:cs="宋体"/>
                <w:szCs w:val="18"/>
              </w:rPr>
            </w:pPr>
            <w:r>
              <w:rPr>
                <w:rFonts w:hint="eastAsia" w:hAnsi="宋体" w:cs="宋体"/>
                <w:i/>
                <w:iCs/>
                <w:sz w:val="18"/>
                <w:szCs w:val="18"/>
              </w:rPr>
              <w:t>θ</w:t>
            </w:r>
            <w:r>
              <w:rPr>
                <w:rFonts w:hint="eastAsia" w:hAnsi="宋体" w:cs="宋体"/>
                <w:sz w:val="18"/>
                <w:szCs w:val="18"/>
                <w:vertAlign w:val="subscript"/>
              </w:rPr>
              <w:t>al</w:t>
            </w:r>
            <w:r>
              <w:rPr>
                <w:rFonts w:hint="eastAsia" w:hAnsi="宋体" w:cs="宋体"/>
                <w:sz w:val="18"/>
                <w:szCs w:val="18"/>
              </w:rPr>
              <w:t>≤额定</w:t>
            </w:r>
            <w:r>
              <w:rPr>
                <w:rFonts w:hint="eastAsia" w:hAnsi="宋体" w:cs="宋体"/>
                <w:i/>
                <w:iCs/>
                <w:sz w:val="18"/>
                <w:szCs w:val="18"/>
              </w:rPr>
              <w:t>t</w:t>
            </w:r>
            <w:r>
              <w:rPr>
                <w:rFonts w:hint="eastAsia" w:hAnsi="宋体" w:cs="宋体"/>
                <w:sz w:val="18"/>
                <w:szCs w:val="18"/>
                <w:vertAlign w:val="subscript"/>
              </w:rPr>
              <w:t>dm</w:t>
            </w:r>
            <w:r>
              <w:rPr>
                <w:rFonts w:hint="eastAsia" w:hAnsi="宋体" w:cs="宋体"/>
                <w:sz w:val="18"/>
                <w:szCs w:val="18"/>
              </w:rPr>
              <w:t xml:space="preserve"> 或</w:t>
            </w:r>
            <w:r>
              <w:rPr>
                <w:rFonts w:hint="eastAsia" w:hAnsi="宋体" w:cs="宋体"/>
                <w:i/>
                <w:iCs/>
                <w:sz w:val="18"/>
                <w:szCs w:val="18"/>
              </w:rPr>
              <w:t>θ</w:t>
            </w:r>
            <w:r>
              <w:rPr>
                <w:rFonts w:hint="eastAsia" w:hAnsi="宋体" w:cs="宋体"/>
                <w:sz w:val="18"/>
                <w:szCs w:val="18"/>
                <w:vertAlign w:val="subscript"/>
              </w:rPr>
              <w:t>ah</w:t>
            </w:r>
            <w:r>
              <w:rPr>
                <w:rFonts w:hint="eastAsia" w:hAnsi="宋体" w:cs="宋体"/>
                <w:sz w:val="18"/>
                <w:szCs w:val="18"/>
              </w:rPr>
              <w:t>≤额定</w:t>
            </w:r>
            <w:r>
              <w:rPr>
                <w:rFonts w:hint="eastAsia" w:hAnsi="宋体" w:cs="宋体"/>
                <w:i/>
                <w:iCs/>
                <w:sz w:val="18"/>
                <w:szCs w:val="18"/>
              </w:rPr>
              <w:t>t</w:t>
            </w:r>
            <w:r>
              <w:rPr>
                <w:rFonts w:hint="eastAsia" w:hAnsi="宋体" w:cs="宋体"/>
                <w:sz w:val="18"/>
                <w:szCs w:val="18"/>
                <w:vertAlign w:val="subscript"/>
              </w:rPr>
              <w:t>dm</w:t>
            </w:r>
            <w:r>
              <w:rPr>
                <w:rFonts w:hint="eastAsia" w:hAnsi="宋体" w:cs="宋体"/>
                <w:sz w:val="18"/>
                <w:szCs w:val="18"/>
              </w:rPr>
              <w:t>+3，</w:t>
            </w:r>
            <w:r>
              <w:rPr>
                <w:rFonts w:hint="eastAsia" w:hAnsi="宋体" w:cs="宋体"/>
                <w:i/>
                <w:iCs/>
                <w:sz w:val="18"/>
                <w:szCs w:val="18"/>
              </w:rPr>
              <w:t>θ</w:t>
            </w:r>
            <w:r>
              <w:rPr>
                <w:rFonts w:hint="eastAsia" w:hAnsi="宋体" w:cs="宋体"/>
                <w:sz w:val="18"/>
                <w:szCs w:val="18"/>
                <w:vertAlign w:val="subscript"/>
              </w:rPr>
              <w:t>al</w:t>
            </w:r>
            <w:r>
              <w:rPr>
                <w:rFonts w:hint="eastAsia" w:hAnsi="宋体" w:cs="宋体"/>
                <w:sz w:val="18"/>
                <w:szCs w:val="18"/>
              </w:rPr>
              <w:t>=额定</w:t>
            </w:r>
            <w:r>
              <w:rPr>
                <w:rFonts w:hint="eastAsia" w:hAnsi="宋体" w:cs="宋体"/>
                <w:i/>
                <w:iCs/>
                <w:sz w:val="18"/>
                <w:szCs w:val="18"/>
              </w:rPr>
              <w:t>t</w:t>
            </w:r>
            <w:r>
              <w:rPr>
                <w:rFonts w:hint="eastAsia" w:hAnsi="宋体" w:cs="宋体"/>
                <w:sz w:val="18"/>
                <w:szCs w:val="18"/>
                <w:vertAlign w:val="subscript"/>
              </w:rPr>
              <w:t>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526" w:type="dxa"/>
            <w:tcBorders>
              <w:left w:val="single" w:color="auto" w:sz="12" w:space="0"/>
            </w:tcBorders>
          </w:tcPr>
          <w:p>
            <w:pPr>
              <w:numPr>
                <w:ilvl w:val="0"/>
                <w:numId w:val="0"/>
              </w:numPr>
              <w:tabs>
                <w:tab w:val="left" w:pos="850"/>
              </w:tabs>
              <w:jc w:val="center"/>
              <w:rPr>
                <w:rFonts w:hAnsi="宋体" w:cs="宋体"/>
                <w:szCs w:val="18"/>
              </w:rPr>
            </w:pPr>
            <w:r>
              <w:rPr>
                <w:rFonts w:hint="eastAsia" w:hAnsi="宋体" w:cs="宋体"/>
                <w:sz w:val="18"/>
                <w:szCs w:val="18"/>
              </w:rPr>
              <w:t>冷却室</w:t>
            </w:r>
          </w:p>
          <w:p>
            <w:pPr>
              <w:numPr>
                <w:ilvl w:val="0"/>
                <w:numId w:val="0"/>
              </w:numPr>
              <w:tabs>
                <w:tab w:val="left" w:pos="850"/>
              </w:tabs>
              <w:jc w:val="center"/>
              <w:rPr>
                <w:rFonts w:hAnsi="宋体" w:cs="宋体"/>
                <w:szCs w:val="18"/>
              </w:rPr>
            </w:pPr>
            <w:r>
              <w:rPr>
                <w:rFonts w:hint="eastAsia" w:hAnsi="宋体" w:cs="宋体"/>
                <w:sz w:val="18"/>
                <w:szCs w:val="18"/>
              </w:rPr>
              <w:t>8≤</w:t>
            </w:r>
            <w:r>
              <w:rPr>
                <w:rFonts w:hint="eastAsia" w:hAnsi="宋体" w:cs="宋体"/>
                <w:i/>
                <w:iCs/>
                <w:sz w:val="18"/>
                <w:szCs w:val="18"/>
              </w:rPr>
              <w:t>t</w:t>
            </w:r>
            <w:r>
              <w:rPr>
                <w:rFonts w:hint="eastAsia" w:hAnsi="宋体" w:cs="宋体"/>
                <w:sz w:val="18"/>
                <w:szCs w:val="18"/>
                <w:vertAlign w:val="subscript"/>
              </w:rPr>
              <w:t>cm</w:t>
            </w:r>
            <w:r>
              <w:rPr>
                <w:rFonts w:hint="eastAsia" w:hAnsi="宋体" w:cs="宋体"/>
                <w:sz w:val="18"/>
                <w:szCs w:val="18"/>
              </w:rPr>
              <w:t>≤</w:t>
            </w:r>
          </w:p>
          <w:p>
            <w:pPr>
              <w:numPr>
                <w:ilvl w:val="0"/>
                <w:numId w:val="0"/>
              </w:numPr>
              <w:tabs>
                <w:tab w:val="left" w:pos="850"/>
              </w:tabs>
              <w:jc w:val="center"/>
              <w:rPr>
                <w:rFonts w:hAnsi="宋体" w:cs="宋体"/>
                <w:szCs w:val="18"/>
              </w:rPr>
            </w:pPr>
            <w:r>
              <w:rPr>
                <w:rFonts w:hint="eastAsia" w:hAnsi="宋体" w:cs="宋体"/>
                <w:sz w:val="18"/>
                <w:szCs w:val="18"/>
              </w:rPr>
              <w:t>14</w:t>
            </w:r>
          </w:p>
        </w:tc>
        <w:tc>
          <w:tcPr>
            <w:tcW w:w="1167" w:type="dxa"/>
            <w:vAlign w:val="center"/>
          </w:tcPr>
          <w:p>
            <w:pPr>
              <w:numPr>
                <w:ilvl w:val="0"/>
                <w:numId w:val="0"/>
              </w:numPr>
              <w:tabs>
                <w:tab w:val="left" w:pos="850"/>
              </w:tabs>
              <w:jc w:val="center"/>
              <w:rPr>
                <w:rFonts w:hAnsi="宋体" w:cs="宋体"/>
                <w:szCs w:val="18"/>
              </w:rPr>
            </w:pPr>
            <w:r>
              <w:rPr>
                <w:rFonts w:hint="eastAsia" w:hAnsi="宋体" w:cs="宋体"/>
                <w:sz w:val="18"/>
                <w:szCs w:val="18"/>
              </w:rPr>
              <w:t>H3</w:t>
            </w:r>
          </w:p>
        </w:tc>
        <w:tc>
          <w:tcPr>
            <w:tcW w:w="1453" w:type="dxa"/>
            <w:vAlign w:val="center"/>
          </w:tcPr>
          <w:p>
            <w:pPr>
              <w:numPr>
                <w:ilvl w:val="0"/>
                <w:numId w:val="0"/>
              </w:numPr>
              <w:tabs>
                <w:tab w:val="left" w:pos="850"/>
              </w:tabs>
              <w:jc w:val="center"/>
              <w:rPr>
                <w:rFonts w:hAnsi="宋体" w:cs="宋体"/>
                <w:szCs w:val="18"/>
              </w:rPr>
            </w:pPr>
            <w:r>
              <w:rPr>
                <w:rFonts w:hint="eastAsia" w:hAnsi="宋体" w:cs="宋体"/>
                <w:i/>
                <w:iCs/>
                <w:sz w:val="18"/>
                <w:szCs w:val="18"/>
              </w:rPr>
              <w:t>t</w:t>
            </w:r>
            <w:r>
              <w:rPr>
                <w:rFonts w:hint="eastAsia" w:hAnsi="宋体" w:cs="宋体"/>
                <w:sz w:val="18"/>
                <w:szCs w:val="18"/>
                <w:vertAlign w:val="subscript"/>
              </w:rPr>
              <w:t>cm</w:t>
            </w:r>
            <w:r>
              <w:rPr>
                <w:rFonts w:hint="eastAsia" w:hAnsi="宋体" w:cs="宋体"/>
                <w:sz w:val="18"/>
                <w:szCs w:val="18"/>
              </w:rPr>
              <w:t>=额定</w:t>
            </w:r>
            <w:r>
              <w:rPr>
                <w:rFonts w:hint="eastAsia" w:hAnsi="宋体" w:cs="宋体"/>
                <w:i/>
                <w:iCs/>
                <w:sz w:val="18"/>
                <w:szCs w:val="18"/>
              </w:rPr>
              <w:t>t</w:t>
            </w:r>
            <w:r>
              <w:rPr>
                <w:rFonts w:hint="eastAsia" w:hAnsi="宋体" w:cs="宋体"/>
                <w:sz w:val="18"/>
                <w:szCs w:val="18"/>
                <w:vertAlign w:val="subscript"/>
              </w:rPr>
              <w:t>cm</w:t>
            </w:r>
            <w:r>
              <w:rPr>
                <w:rFonts w:hint="eastAsia" w:hAnsi="宋体" w:cs="宋体"/>
                <w:sz w:val="18"/>
                <w:szCs w:val="18"/>
              </w:rPr>
              <w:t>+3</w:t>
            </w:r>
          </w:p>
        </w:tc>
        <w:tc>
          <w:tcPr>
            <w:tcW w:w="1462" w:type="dxa"/>
            <w:tcBorders>
              <w:right w:val="single" w:color="auto" w:sz="4" w:space="0"/>
            </w:tcBorders>
            <w:vAlign w:val="center"/>
          </w:tcPr>
          <w:p>
            <w:pPr>
              <w:numPr>
                <w:ilvl w:val="0"/>
                <w:numId w:val="0"/>
              </w:numPr>
              <w:tabs>
                <w:tab w:val="left" w:pos="850"/>
              </w:tabs>
              <w:jc w:val="center"/>
              <w:rPr>
                <w:rFonts w:hAnsi="宋体" w:cs="宋体"/>
                <w:szCs w:val="18"/>
              </w:rPr>
            </w:pPr>
            <w:r>
              <w:rPr>
                <w:rFonts w:hint="eastAsia" w:hAnsi="宋体" w:cs="宋体"/>
                <w:i/>
                <w:iCs/>
                <w:sz w:val="18"/>
                <w:szCs w:val="18"/>
              </w:rPr>
              <w:t>t</w:t>
            </w:r>
            <w:r>
              <w:rPr>
                <w:rFonts w:hint="eastAsia" w:hAnsi="宋体" w:cs="宋体"/>
                <w:sz w:val="18"/>
                <w:szCs w:val="18"/>
                <w:vertAlign w:val="subscript"/>
              </w:rPr>
              <w:t>cm</w:t>
            </w:r>
            <w:r>
              <w:rPr>
                <w:rFonts w:hint="eastAsia" w:hAnsi="宋体" w:cs="宋体"/>
                <w:sz w:val="18"/>
                <w:szCs w:val="18"/>
              </w:rPr>
              <w:t>=额定</w:t>
            </w:r>
            <w:r>
              <w:rPr>
                <w:rFonts w:hint="eastAsia" w:hAnsi="宋体" w:cs="宋体"/>
                <w:i/>
                <w:iCs/>
                <w:sz w:val="18"/>
                <w:szCs w:val="18"/>
              </w:rPr>
              <w:t>t</w:t>
            </w:r>
            <w:r>
              <w:rPr>
                <w:rFonts w:hint="eastAsia" w:hAnsi="宋体" w:cs="宋体"/>
                <w:sz w:val="18"/>
                <w:szCs w:val="18"/>
                <w:vertAlign w:val="subscript"/>
              </w:rPr>
              <w:t>cm</w:t>
            </w:r>
            <w:r>
              <w:rPr>
                <w:rFonts w:hint="eastAsia" w:hAnsi="宋体" w:cs="宋体"/>
                <w:sz w:val="18"/>
                <w:szCs w:val="18"/>
              </w:rPr>
              <w:t>-3</w:t>
            </w:r>
          </w:p>
        </w:tc>
        <w:tc>
          <w:tcPr>
            <w:tcW w:w="1358" w:type="dxa"/>
            <w:tcBorders>
              <w:right w:val="single" w:color="auto" w:sz="4"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w:t>
            </w:r>
          </w:p>
        </w:tc>
        <w:tc>
          <w:tcPr>
            <w:tcW w:w="2487" w:type="dxa"/>
            <w:tcBorders>
              <w:righ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i/>
                <w:iCs/>
                <w:sz w:val="18"/>
                <w:szCs w:val="18"/>
              </w:rPr>
              <w:t>t</w:t>
            </w:r>
            <w:r>
              <w:rPr>
                <w:rFonts w:hint="eastAsia" w:hAnsi="宋体" w:cs="宋体"/>
                <w:sz w:val="18"/>
                <w:szCs w:val="18"/>
                <w:vertAlign w:val="subscript"/>
              </w:rPr>
              <w:t>cm</w:t>
            </w:r>
            <w:r>
              <w:rPr>
                <w:rFonts w:hint="eastAsia" w:hAnsi="宋体" w:cs="宋体"/>
                <w:sz w:val="18"/>
                <w:szCs w:val="18"/>
              </w:rPr>
              <w:t>=额定</w:t>
            </w:r>
            <w:r>
              <w:rPr>
                <w:rFonts w:hint="eastAsia" w:hAnsi="宋体" w:cs="宋体"/>
                <w:i/>
                <w:iCs/>
                <w:sz w:val="18"/>
                <w:szCs w:val="18"/>
              </w:rPr>
              <w:t>t</w:t>
            </w:r>
            <w:r>
              <w:rPr>
                <w:rFonts w:hint="eastAsia" w:hAnsi="宋体" w:cs="宋体"/>
                <w:sz w:val="18"/>
                <w:szCs w:val="18"/>
                <w:vertAlign w:val="subscript"/>
              </w:rPr>
              <w:t>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526" w:type="dxa"/>
            <w:tcBorders>
              <w:left w:val="single" w:color="auto" w:sz="12" w:space="0"/>
              <w:bottom w:val="single" w:color="auto" w:sz="12" w:space="0"/>
            </w:tcBorders>
          </w:tcPr>
          <w:p>
            <w:pPr>
              <w:numPr>
                <w:ilvl w:val="0"/>
                <w:numId w:val="0"/>
              </w:numPr>
              <w:tabs>
                <w:tab w:val="left" w:pos="850"/>
              </w:tabs>
              <w:jc w:val="center"/>
              <w:rPr>
                <w:rFonts w:hAnsi="宋体" w:cs="宋体"/>
                <w:szCs w:val="18"/>
              </w:rPr>
            </w:pPr>
            <w:r>
              <w:rPr>
                <w:rFonts w:hint="eastAsia" w:hAnsi="宋体" w:cs="宋体"/>
                <w:sz w:val="18"/>
                <w:szCs w:val="18"/>
              </w:rPr>
              <w:t>特定温度冷冻储藏室（-1℃以 上，标明额定工作温度</w:t>
            </w:r>
            <w:r>
              <w:rPr>
                <w:rFonts w:hint="eastAsia" w:hAnsi="宋体" w:cs="宋体"/>
                <w:i/>
                <w:iCs/>
                <w:sz w:val="18"/>
                <w:szCs w:val="18"/>
              </w:rPr>
              <w:t>t</w:t>
            </w:r>
            <w:r>
              <w:rPr>
                <w:rFonts w:hint="eastAsia" w:hAnsi="宋体" w:cs="宋体"/>
                <w:sz w:val="18"/>
                <w:szCs w:val="18"/>
                <w:vertAlign w:val="subscript"/>
              </w:rPr>
              <w:t>cm</w:t>
            </w:r>
            <w:r>
              <w:rPr>
                <w:rFonts w:hint="eastAsia" w:hAnsi="宋体" w:cs="宋体"/>
                <w:sz w:val="18"/>
                <w:szCs w:val="18"/>
              </w:rPr>
              <w:t>）</w:t>
            </w:r>
          </w:p>
        </w:tc>
        <w:tc>
          <w:tcPr>
            <w:tcW w:w="1167" w:type="dxa"/>
            <w:tcBorders>
              <w:bottom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S</w:t>
            </w:r>
          </w:p>
        </w:tc>
        <w:tc>
          <w:tcPr>
            <w:tcW w:w="1453" w:type="dxa"/>
            <w:tcBorders>
              <w:bottom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i/>
                <w:iCs/>
                <w:sz w:val="18"/>
                <w:szCs w:val="18"/>
              </w:rPr>
              <w:t>t</w:t>
            </w:r>
            <w:r>
              <w:rPr>
                <w:rFonts w:hint="eastAsia" w:hAnsi="宋体" w:cs="宋体"/>
                <w:sz w:val="18"/>
                <w:szCs w:val="18"/>
                <w:vertAlign w:val="subscript"/>
              </w:rPr>
              <w:t>cm</w:t>
            </w:r>
            <w:r>
              <w:rPr>
                <w:rFonts w:hint="eastAsia" w:hAnsi="宋体" w:cs="宋体"/>
                <w:sz w:val="18"/>
                <w:szCs w:val="18"/>
              </w:rPr>
              <w:t>=额定</w:t>
            </w:r>
            <w:r>
              <w:rPr>
                <w:rFonts w:hint="eastAsia" w:hAnsi="宋体" w:cs="宋体"/>
                <w:i/>
                <w:iCs/>
                <w:sz w:val="18"/>
                <w:szCs w:val="18"/>
              </w:rPr>
              <w:t>t</w:t>
            </w:r>
            <w:r>
              <w:rPr>
                <w:rFonts w:hint="eastAsia" w:hAnsi="宋体" w:cs="宋体"/>
                <w:sz w:val="18"/>
                <w:szCs w:val="18"/>
                <w:vertAlign w:val="subscript"/>
              </w:rPr>
              <w:t>cm</w:t>
            </w:r>
            <w:r>
              <w:rPr>
                <w:rFonts w:hint="eastAsia" w:hAnsi="宋体" w:cs="宋体"/>
                <w:sz w:val="18"/>
                <w:szCs w:val="18"/>
              </w:rPr>
              <w:t>+3</w:t>
            </w:r>
          </w:p>
        </w:tc>
        <w:tc>
          <w:tcPr>
            <w:tcW w:w="1462" w:type="dxa"/>
            <w:tcBorders>
              <w:bottom w:val="single" w:color="auto" w:sz="12" w:space="0"/>
              <w:right w:val="single" w:color="auto" w:sz="4" w:space="0"/>
            </w:tcBorders>
            <w:vAlign w:val="center"/>
          </w:tcPr>
          <w:p>
            <w:pPr>
              <w:numPr>
                <w:ilvl w:val="0"/>
                <w:numId w:val="0"/>
              </w:numPr>
              <w:tabs>
                <w:tab w:val="left" w:pos="850"/>
              </w:tabs>
              <w:jc w:val="center"/>
              <w:rPr>
                <w:rFonts w:hAnsi="宋体" w:cs="宋体"/>
                <w:szCs w:val="18"/>
              </w:rPr>
            </w:pPr>
            <w:r>
              <w:rPr>
                <w:rFonts w:hint="eastAsia" w:hAnsi="宋体" w:cs="宋体"/>
                <w:i/>
                <w:iCs/>
                <w:sz w:val="18"/>
                <w:szCs w:val="18"/>
              </w:rPr>
              <w:t>t</w:t>
            </w:r>
            <w:r>
              <w:rPr>
                <w:rFonts w:hint="eastAsia" w:hAnsi="宋体" w:cs="宋体"/>
                <w:sz w:val="18"/>
                <w:szCs w:val="18"/>
                <w:vertAlign w:val="subscript"/>
              </w:rPr>
              <w:t>cm</w:t>
            </w:r>
            <w:r>
              <w:rPr>
                <w:rFonts w:hint="eastAsia" w:hAnsi="宋体" w:cs="宋体"/>
                <w:sz w:val="18"/>
                <w:szCs w:val="18"/>
              </w:rPr>
              <w:t>=额定</w:t>
            </w:r>
            <w:r>
              <w:rPr>
                <w:rFonts w:hint="eastAsia" w:hAnsi="宋体" w:cs="宋体"/>
                <w:i/>
                <w:iCs/>
                <w:sz w:val="18"/>
                <w:szCs w:val="18"/>
              </w:rPr>
              <w:t>t</w:t>
            </w:r>
            <w:r>
              <w:rPr>
                <w:rFonts w:hint="eastAsia" w:hAnsi="宋体" w:cs="宋体"/>
                <w:sz w:val="18"/>
                <w:szCs w:val="18"/>
                <w:vertAlign w:val="subscript"/>
              </w:rPr>
              <w:t>cm</w:t>
            </w:r>
            <w:r>
              <w:rPr>
                <w:rFonts w:hint="eastAsia" w:hAnsi="宋体" w:cs="宋体"/>
                <w:sz w:val="18"/>
                <w:szCs w:val="18"/>
              </w:rPr>
              <w:t>-3</w:t>
            </w:r>
          </w:p>
        </w:tc>
        <w:tc>
          <w:tcPr>
            <w:tcW w:w="1358" w:type="dxa"/>
            <w:tcBorders>
              <w:bottom w:val="single" w:color="auto" w:sz="12" w:space="0"/>
              <w:right w:val="single" w:color="auto" w:sz="4"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w:t>
            </w:r>
          </w:p>
        </w:tc>
        <w:tc>
          <w:tcPr>
            <w:tcW w:w="2487" w:type="dxa"/>
            <w:tcBorders>
              <w:bottom w:val="single" w:color="auto" w:sz="12" w:space="0"/>
              <w:righ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i/>
                <w:iCs/>
                <w:sz w:val="18"/>
                <w:szCs w:val="18"/>
              </w:rPr>
              <w:t>t</w:t>
            </w:r>
            <w:r>
              <w:rPr>
                <w:rFonts w:hint="eastAsia" w:hAnsi="宋体" w:cs="宋体"/>
                <w:sz w:val="18"/>
                <w:szCs w:val="18"/>
                <w:vertAlign w:val="subscript"/>
              </w:rPr>
              <w:t>cm</w:t>
            </w:r>
            <w:r>
              <w:rPr>
                <w:rFonts w:hint="eastAsia" w:hAnsi="宋体" w:cs="宋体"/>
                <w:sz w:val="18"/>
                <w:szCs w:val="18"/>
              </w:rPr>
              <w:t>=额定</w:t>
            </w:r>
            <w:r>
              <w:rPr>
                <w:rFonts w:hint="eastAsia" w:hAnsi="宋体" w:cs="宋体"/>
                <w:i/>
                <w:iCs/>
                <w:sz w:val="18"/>
                <w:szCs w:val="18"/>
              </w:rPr>
              <w:t>t</w:t>
            </w:r>
            <w:r>
              <w:rPr>
                <w:rFonts w:hint="eastAsia" w:hAnsi="宋体" w:cs="宋体"/>
                <w:sz w:val="18"/>
                <w:szCs w:val="18"/>
                <w:vertAlign w:val="subscript"/>
              </w:rPr>
              <w:t>cm</w:t>
            </w:r>
          </w:p>
        </w:tc>
      </w:tr>
    </w:tbl>
    <w:p>
      <w:pPr>
        <w:pStyle w:val="121"/>
        <w:spacing w:before="156" w:after="156"/>
        <w:rPr>
          <w:szCs w:val="21"/>
        </w:rPr>
      </w:pPr>
      <w:r>
        <w:rPr>
          <w:spacing w:val="-2"/>
          <w:w w:val="105"/>
          <w:szCs w:val="21"/>
        </w:rPr>
        <w:t>启动性能</w:t>
      </w:r>
    </w:p>
    <w:p>
      <w:pPr>
        <w:pStyle w:val="234"/>
      </w:pPr>
      <w:r>
        <w:rPr>
          <w:rFonts w:hint="eastAsia" w:hAnsi="宋体" w:cs="宋体"/>
          <w:color w:val="auto"/>
          <w:kern w:val="0"/>
          <w:lang w:eastAsia="zh-CN"/>
        </w:rPr>
        <w:t>商用</w:t>
      </w:r>
      <w:r>
        <w:rPr>
          <w:rFonts w:hint="eastAsia" w:ascii="宋体" w:hAnsi="宋体" w:eastAsia="宋体" w:cs="宋体"/>
          <w:color w:val="auto"/>
          <w:kern w:val="0"/>
        </w:rPr>
        <w:t>冷柜应具有良好的启动性能，</w:t>
      </w:r>
      <w:r>
        <w:rPr>
          <w:rFonts w:hint="eastAsia" w:ascii="宋体" w:hAnsi="宋体" w:eastAsia="宋体" w:cs="宋体"/>
          <w:color w:val="auto"/>
        </w:rPr>
        <w:t>按5.4的方法</w:t>
      </w:r>
      <w:r>
        <w:rPr>
          <w:rFonts w:hint="eastAsia" w:ascii="宋体" w:hAnsi="宋体" w:eastAsia="宋体" w:cs="宋体"/>
          <w:color w:val="auto"/>
          <w:kern w:val="0"/>
        </w:rPr>
        <w:t>进行降电压10%启动试验时，</w:t>
      </w:r>
      <w:r>
        <w:rPr>
          <w:rFonts w:hint="eastAsia" w:hAnsi="宋体" w:cs="宋体"/>
          <w:color w:val="auto"/>
          <w:kern w:val="0"/>
          <w:lang w:eastAsia="zh-CN"/>
        </w:rPr>
        <w:t>商用</w:t>
      </w:r>
      <w:r>
        <w:rPr>
          <w:rFonts w:hint="eastAsia" w:ascii="宋体" w:hAnsi="宋体" w:eastAsia="宋体" w:cs="宋体"/>
          <w:color w:val="auto"/>
          <w:kern w:val="0"/>
        </w:rPr>
        <w:t>冷柜应能正常起动降温，装在</w:t>
      </w:r>
      <w:r>
        <w:rPr>
          <w:rFonts w:hint="eastAsia" w:hAnsi="宋体" w:cs="宋体"/>
          <w:color w:val="auto"/>
          <w:kern w:val="0"/>
          <w:lang w:eastAsia="zh-CN"/>
        </w:rPr>
        <w:t>商用</w:t>
      </w:r>
      <w:r>
        <w:rPr>
          <w:rFonts w:hint="eastAsia" w:ascii="宋体" w:hAnsi="宋体" w:eastAsia="宋体" w:cs="宋体"/>
          <w:color w:val="auto"/>
          <w:kern w:val="0"/>
        </w:rPr>
        <w:t>冷柜上的任何保护装置不应动作</w:t>
      </w:r>
      <w:r>
        <w:rPr>
          <w:rFonts w:hint="eastAsia"/>
          <w:kern w:val="0"/>
        </w:rPr>
        <w:t>。</w:t>
      </w:r>
    </w:p>
    <w:p>
      <w:pPr>
        <w:pStyle w:val="121"/>
        <w:spacing w:before="156" w:after="156"/>
        <w:rPr>
          <w:szCs w:val="21"/>
        </w:rPr>
      </w:pPr>
      <w:r>
        <w:rPr>
          <w:w w:val="105"/>
          <w:szCs w:val="21"/>
        </w:rPr>
        <w:t>耐电压波动性能</w:t>
      </w:r>
    </w:p>
    <w:p>
      <w:pPr>
        <w:pStyle w:val="234"/>
      </w:pPr>
      <w:r>
        <w:rPr>
          <w:rFonts w:hint="eastAsia" w:hAnsi="宋体" w:cs="宋体"/>
          <w:color w:val="auto"/>
          <w:kern w:val="0"/>
          <w:lang w:eastAsia="zh-CN"/>
        </w:rPr>
        <w:t>商用</w:t>
      </w:r>
      <w:r>
        <w:rPr>
          <w:rFonts w:hint="eastAsia"/>
          <w:kern w:val="0"/>
        </w:rPr>
        <w:t>冷柜应能适应电网电压的波动，按</w:t>
      </w:r>
      <w:r>
        <w:rPr>
          <w:rFonts w:ascii="TimesNewRomanPSMT" w:hAnsi="TimesNewRomanPSMT" w:cs="TimesNewRomanPSMT"/>
          <w:kern w:val="0"/>
        </w:rPr>
        <w:t>5.</w:t>
      </w:r>
      <w:r>
        <w:rPr>
          <w:rFonts w:hint="eastAsia" w:ascii="TimesNewRomanPSMT" w:hAnsi="TimesNewRomanPSMT" w:cs="TimesNewRomanPSMT"/>
          <w:kern w:val="0"/>
        </w:rPr>
        <w:t>5的方法</w:t>
      </w:r>
      <w:r>
        <w:rPr>
          <w:rFonts w:hint="eastAsia"/>
          <w:kern w:val="0"/>
        </w:rPr>
        <w:t>进行试验时，</w:t>
      </w:r>
      <w:r>
        <w:rPr>
          <w:rFonts w:hint="eastAsia" w:hAnsi="宋体" w:cs="宋体"/>
          <w:color w:val="auto"/>
          <w:kern w:val="0"/>
          <w:lang w:eastAsia="zh-CN"/>
        </w:rPr>
        <w:t>商用</w:t>
      </w:r>
      <w:r>
        <w:rPr>
          <w:rFonts w:hint="eastAsia"/>
          <w:kern w:val="0"/>
        </w:rPr>
        <w:t>冷柜应运行正常，机组各部件不能出现故障，不应出现热过载保护，柜内温度应能保持正常。</w:t>
      </w:r>
    </w:p>
    <w:p>
      <w:pPr>
        <w:pStyle w:val="121"/>
        <w:spacing w:before="156" w:after="156"/>
        <w:rPr>
          <w:rFonts w:cs="Times New Roman"/>
          <w:szCs w:val="21"/>
        </w:rPr>
      </w:pPr>
      <w:r>
        <w:rPr>
          <w:rFonts w:cs="Times New Roman"/>
          <w:szCs w:val="21"/>
        </w:rPr>
        <w:t>耗</w:t>
      </w:r>
      <w:r>
        <w:rPr>
          <w:rFonts w:hint="eastAsia" w:cs="Times New Roman"/>
          <w:szCs w:val="21"/>
          <w:lang w:val="en-US" w:eastAsia="zh-CN"/>
        </w:rPr>
        <w:t>电量</w:t>
      </w:r>
      <w:r>
        <w:rPr>
          <w:rFonts w:cs="Times New Roman"/>
          <w:szCs w:val="21"/>
        </w:rPr>
        <w:t>、能效指数</w:t>
      </w:r>
    </w:p>
    <w:p>
      <w:pPr>
        <w:pStyle w:val="133"/>
        <w:spacing w:before="156" w:beforeLines="50" w:after="156" w:afterLines="50"/>
        <w:rPr>
          <w:rFonts w:ascii="黑体" w:hAnsi="黑体" w:eastAsia="黑体" w:cs="Times New Roman"/>
          <w:color w:val="000000" w:themeColor="text1"/>
          <w:szCs w:val="21"/>
          <w14:textFill>
            <w14:solidFill>
              <w14:schemeClr w14:val="tx1"/>
            </w14:solidFill>
          </w14:textFill>
        </w:rPr>
      </w:pPr>
      <w:r>
        <w:rPr>
          <w:rFonts w:ascii="黑体" w:hAnsi="黑体" w:eastAsia="黑体" w:cs="Times New Roman"/>
          <w:color w:val="000000" w:themeColor="text1"/>
          <w:szCs w:val="21"/>
          <w14:textFill>
            <w14:solidFill>
              <w14:schemeClr w14:val="tx1"/>
            </w14:solidFill>
          </w14:textFill>
        </w:rPr>
        <w:t>耗</w:t>
      </w:r>
      <w:r>
        <w:rPr>
          <w:rFonts w:hint="eastAsia" w:ascii="黑体" w:hAnsi="黑体" w:eastAsia="黑体" w:cs="Times New Roman"/>
          <w:color w:val="000000" w:themeColor="text1"/>
          <w:szCs w:val="21"/>
          <w:lang w:val="en-US" w:eastAsia="zh-CN"/>
          <w14:textFill>
            <w14:solidFill>
              <w14:schemeClr w14:val="tx1"/>
            </w14:solidFill>
          </w14:textFill>
        </w:rPr>
        <w:t>电量</w:t>
      </w:r>
      <w:bookmarkStart w:id="8" w:name="_GoBack"/>
      <w:bookmarkEnd w:id="8"/>
    </w:p>
    <w:p>
      <w:pPr>
        <w:rPr>
          <w:color w:val="000000" w:themeColor="text1"/>
          <w14:textFill>
            <w14:solidFill>
              <w14:schemeClr w14:val="tx1"/>
            </w14:solidFill>
          </w14:textFill>
        </w:rPr>
      </w:pPr>
      <w:r>
        <w:rPr>
          <w:rFonts w:hint="eastAsia"/>
          <w:color w:val="000000" w:themeColor="text1"/>
          <w:szCs w:val="21"/>
          <w14:textFill>
            <w14:solidFill>
              <w14:schemeClr w14:val="tx1"/>
            </w14:solidFill>
          </w14:textFill>
        </w:rPr>
        <w:t xml:space="preserve">   </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按</w:t>
      </w:r>
      <w:r>
        <w:rPr>
          <w:rFonts w:hint="eastAsia"/>
          <w:color w:val="000000" w:themeColor="text1"/>
          <w14:textFill>
            <w14:solidFill>
              <w14:schemeClr w14:val="tx1"/>
            </w14:solidFill>
          </w14:textFill>
        </w:rPr>
        <w:t>5.5</w:t>
      </w:r>
      <w:r>
        <w:rPr>
          <w:rFonts w:hint="eastAsia"/>
          <w:color w:val="000000" w:themeColor="text1"/>
          <w:szCs w:val="21"/>
          <w14:textFill>
            <w14:solidFill>
              <w14:schemeClr w14:val="tx1"/>
            </w14:solidFill>
          </w14:textFill>
        </w:rPr>
        <w:t>的方法进行试验，冷柜的耗电量应不大于额定值</w:t>
      </w:r>
      <w:r>
        <w:rPr>
          <w:color w:val="000000" w:themeColor="text1"/>
          <w14:textFill>
            <w14:solidFill>
              <w14:schemeClr w14:val="tx1"/>
            </w14:solidFill>
          </w14:textFill>
        </w:rPr>
        <w:t>。</w:t>
      </w:r>
    </w:p>
    <w:p>
      <w:pPr>
        <w:pStyle w:val="133"/>
        <w:spacing w:before="156" w:beforeLines="50" w:after="156" w:afterLines="50"/>
        <w:rPr>
          <w:rFonts w:ascii="黑体" w:hAnsi="黑体" w:eastAsia="黑体" w:cs="Times New Roman"/>
          <w:color w:val="000000" w:themeColor="text1"/>
          <w:szCs w:val="21"/>
          <w14:textFill>
            <w14:solidFill>
              <w14:schemeClr w14:val="tx1"/>
            </w14:solidFill>
          </w14:textFill>
        </w:rPr>
      </w:pPr>
      <w:r>
        <w:rPr>
          <w:rFonts w:ascii="黑体" w:hAnsi="黑体" w:eastAsia="黑体" w:cs="Times New Roman"/>
          <w:color w:val="000000" w:themeColor="text1"/>
          <w:szCs w:val="21"/>
          <w14:textFill>
            <w14:solidFill>
              <w14:schemeClr w14:val="tx1"/>
            </w14:solidFill>
          </w14:textFill>
        </w:rPr>
        <w:t>能效指数</w:t>
      </w:r>
    </w:p>
    <w:p>
      <w:pPr>
        <w:pStyle w:val="239"/>
        <w:numPr>
          <w:ilvl w:val="0"/>
          <w:numId w:val="0"/>
        </w:numPr>
        <w:spacing w:before="156" w:after="156"/>
        <w:ind w:firstLine="420" w:firstLineChars="200"/>
        <w:rPr>
          <w:rFonts w:asciiTheme="minorEastAsia" w:hAnsiTheme="minorEastAsia" w:eastAsiaTheme="minorEastAsia"/>
          <w:spacing w:val="-4"/>
          <w:w w:val="105"/>
        </w:rPr>
      </w:pPr>
      <w:r>
        <w:rPr>
          <w:rFonts w:hint="eastAsia" w:ascii="宋体" w:eastAsia="宋体" w:cstheme="minorBidi"/>
          <w:color w:val="000000" w:themeColor="text1"/>
          <w:kern w:val="2"/>
          <w:szCs w:val="22"/>
          <w14:textFill>
            <w14:solidFill>
              <w14:schemeClr w14:val="tx1"/>
            </w14:solidFill>
          </w14:textFill>
        </w:rPr>
        <w:t>按5.6</w:t>
      </w:r>
      <w:r>
        <w:rPr>
          <w:rFonts w:hint="eastAsia" w:ascii="宋体" w:hAnsi="宋体" w:eastAsia="宋体"/>
          <w:color w:val="000000" w:themeColor="text1"/>
          <w14:textFill>
            <w14:solidFill>
              <w14:schemeClr w14:val="tx1"/>
            </w14:solidFill>
          </w14:textFill>
        </w:rPr>
        <w:t>的方法试验</w:t>
      </w:r>
      <w:r>
        <w:rPr>
          <w:rFonts w:hint="eastAsia" w:ascii="宋体" w:eastAsia="宋体" w:cstheme="minorBidi"/>
          <w:color w:val="000000" w:themeColor="text1"/>
          <w:kern w:val="2"/>
          <w:szCs w:val="22"/>
          <w14:textFill>
            <w14:solidFill>
              <w14:schemeClr w14:val="tx1"/>
            </w14:solidFill>
          </w14:textFill>
        </w:rPr>
        <w:t>，</w:t>
      </w:r>
      <w:r>
        <w:rPr>
          <w:rFonts w:ascii="宋体" w:eastAsia="宋体" w:cstheme="minorBidi"/>
          <w:color w:val="000000" w:themeColor="text1"/>
          <w:kern w:val="2"/>
          <w:szCs w:val="22"/>
          <w14:textFill>
            <w14:solidFill>
              <w14:schemeClr w14:val="tx1"/>
            </w14:solidFill>
          </w14:textFill>
        </w:rPr>
        <w:t>高效</w:t>
      </w:r>
      <w:r>
        <w:rPr>
          <w:rFonts w:hint="eastAsia" w:ascii="宋体" w:eastAsia="宋体" w:cstheme="minorBidi"/>
          <w:color w:val="000000" w:themeColor="text1"/>
          <w:kern w:val="2"/>
          <w:szCs w:val="22"/>
          <w14:textFill>
            <w14:solidFill>
              <w14:schemeClr w14:val="tx1"/>
            </w14:solidFill>
          </w14:textFill>
        </w:rPr>
        <w:t>能</w:t>
      </w:r>
      <w:r>
        <w:rPr>
          <w:rFonts w:hint="eastAsia" w:ascii="宋体" w:eastAsia="宋体" w:cstheme="minorBidi"/>
          <w:color w:val="000000" w:themeColor="text1"/>
          <w:kern w:val="2"/>
          <w:szCs w:val="22"/>
          <w:lang w:eastAsia="zh-CN"/>
          <w14:textFill>
            <w14:solidFill>
              <w14:schemeClr w14:val="tx1"/>
            </w14:solidFill>
          </w14:textFill>
        </w:rPr>
        <w:t>商用冷柜</w:t>
      </w:r>
      <w:r>
        <w:rPr>
          <w:rFonts w:hint="eastAsia" w:ascii="宋体" w:eastAsia="宋体" w:cstheme="minorBidi"/>
          <w:color w:val="000000" w:themeColor="text1"/>
          <w:kern w:val="2"/>
          <w:szCs w:val="22"/>
          <w:lang w:val="en-US" w:eastAsia="zh-CN"/>
          <w14:textFill>
            <w14:solidFill>
              <w14:schemeClr w14:val="tx1"/>
            </w14:solidFill>
          </w14:textFill>
        </w:rPr>
        <w:t>的</w:t>
      </w:r>
      <w:r>
        <w:rPr>
          <w:rFonts w:hint="eastAsia" w:ascii="宋体" w:eastAsia="宋体" w:cstheme="minorBidi"/>
          <w:color w:val="000000" w:themeColor="text1"/>
          <w:kern w:val="2"/>
          <w:szCs w:val="22"/>
          <w14:textFill>
            <w14:solidFill>
              <w14:schemeClr w14:val="tx1"/>
            </w14:solidFill>
          </w14:textFill>
        </w:rPr>
        <w:t>能效指数应不大于</w:t>
      </w:r>
      <w:r>
        <w:rPr>
          <w:rFonts w:hint="eastAsia" w:ascii="宋体" w:eastAsia="宋体" w:cstheme="minorBidi"/>
          <w:kern w:val="2"/>
          <w:szCs w:val="22"/>
        </w:rPr>
        <w:t xml:space="preserve">48%。 </w:t>
      </w:r>
      <w:r>
        <w:rPr>
          <w:rFonts w:hint="eastAsia" w:asciiTheme="minorEastAsia" w:hAnsiTheme="minorEastAsia" w:eastAsiaTheme="minorEastAsia"/>
        </w:rPr>
        <w:t xml:space="preserve"> </w:t>
      </w:r>
    </w:p>
    <w:p>
      <w:pPr>
        <w:pStyle w:val="119"/>
        <w:spacing w:before="156" w:after="156"/>
        <w:rPr>
          <w:rFonts w:hAnsi="黑体" w:cs="Times New Roman"/>
          <w:szCs w:val="21"/>
        </w:rPr>
      </w:pPr>
      <w:r>
        <w:rPr>
          <w:rFonts w:hint="eastAsia" w:hAnsi="黑体" w:cs="Times New Roman"/>
          <w:szCs w:val="21"/>
        </w:rPr>
        <w:t>噪声</w:t>
      </w:r>
    </w:p>
    <w:p>
      <w:pPr>
        <w:ind w:firstLine="420" w:firstLineChars="200"/>
        <w:rPr>
          <w:rFonts w:hint="eastAsia"/>
        </w:rPr>
      </w:pPr>
      <w:r>
        <w:rPr>
          <w:rFonts w:hint="eastAsia"/>
        </w:rPr>
        <w:t>按5.7的方法进行试验，</w:t>
      </w:r>
      <w:r>
        <w:rPr>
          <w:rFonts w:hint="eastAsia" w:ascii="宋体" w:eastAsia="宋体" w:cstheme="minorBidi"/>
          <w:kern w:val="2"/>
          <w:szCs w:val="22"/>
          <w:lang w:eastAsia="zh-CN"/>
        </w:rPr>
        <w:t>商用冷柜</w:t>
      </w:r>
      <w:r>
        <w:rPr>
          <w:rFonts w:hint="eastAsia"/>
        </w:rPr>
        <w:t>噪声声压级应符合表</w:t>
      </w:r>
      <w:r>
        <w:rPr>
          <w:rFonts w:hint="eastAsia"/>
          <w:lang w:val="en-US" w:eastAsia="zh-CN"/>
        </w:rPr>
        <w:t>2</w:t>
      </w:r>
      <w:r>
        <w:rPr>
          <w:rFonts w:hint="eastAsia"/>
        </w:rPr>
        <w:t>要求。</w:t>
      </w:r>
    </w:p>
    <w:p>
      <w:pPr>
        <w:pStyle w:val="208"/>
        <w:tabs>
          <w:tab w:val="left" w:pos="0"/>
        </w:tabs>
        <w:spacing w:before="156" w:after="156"/>
      </w:pPr>
      <w:r>
        <w:rPr>
          <w:rFonts w:hint="eastAsia"/>
          <w:szCs w:val="21"/>
        </w:rPr>
        <w:t>噪声声压级要求</w:t>
      </w:r>
    </w:p>
    <w:tbl>
      <w:tblPr>
        <w:tblStyle w:val="18"/>
        <w:tblW w:w="9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4"/>
        <w:gridCol w:w="3248"/>
        <w:gridCol w:w="3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14" w:type="dxa"/>
            <w:vMerge w:val="restart"/>
            <w:tcBorders>
              <w:top w:val="single" w:color="auto" w:sz="12" w:space="0"/>
              <w:left w:val="single" w:color="auto" w:sz="12" w:space="0"/>
            </w:tcBorders>
            <w:vAlign w:val="center"/>
          </w:tcPr>
          <w:p>
            <w:pPr>
              <w:numPr>
                <w:ilvl w:val="0"/>
                <w:numId w:val="0"/>
              </w:numPr>
              <w:tabs>
                <w:tab w:val="left" w:pos="850"/>
              </w:tabs>
              <w:jc w:val="center"/>
              <w:rPr>
                <w:rFonts w:hAnsi="宋体" w:cs="宋体"/>
                <w:szCs w:val="18"/>
              </w:rPr>
            </w:pPr>
            <w:r>
              <w:rPr>
                <w:rFonts w:hint="eastAsia"/>
                <w:sz w:val="18"/>
                <w:szCs w:val="18"/>
              </w:rPr>
              <w:t>功率</w:t>
            </w:r>
            <w:r>
              <w:rPr>
                <w:rFonts w:hint="eastAsia"/>
                <w:i/>
                <w:iCs/>
                <w:sz w:val="18"/>
                <w:szCs w:val="18"/>
              </w:rPr>
              <w:t>P</w:t>
            </w:r>
            <w:r>
              <w:rPr>
                <w:rFonts w:hint="eastAsia"/>
                <w:sz w:val="18"/>
                <w:szCs w:val="18"/>
              </w:rPr>
              <w:t>（kW）</w:t>
            </w:r>
          </w:p>
        </w:tc>
        <w:tc>
          <w:tcPr>
            <w:tcW w:w="6739" w:type="dxa"/>
            <w:gridSpan w:val="2"/>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噪声声压级，dB（A）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714" w:type="dxa"/>
            <w:vMerge w:val="continue"/>
            <w:tcBorders>
              <w:left w:val="single" w:color="auto" w:sz="12" w:space="0"/>
            </w:tcBorders>
            <w:vAlign w:val="center"/>
          </w:tcPr>
          <w:p>
            <w:pPr>
              <w:numPr>
                <w:ilvl w:val="0"/>
                <w:numId w:val="2"/>
              </w:numPr>
              <w:tabs>
                <w:tab w:val="left" w:pos="850"/>
              </w:tabs>
              <w:jc w:val="center"/>
              <w:rPr>
                <w:rFonts w:hAnsi="宋体" w:cs="宋体"/>
                <w:szCs w:val="18"/>
              </w:rPr>
            </w:pPr>
          </w:p>
        </w:tc>
        <w:tc>
          <w:tcPr>
            <w:tcW w:w="3248" w:type="dxa"/>
            <w:tcBorders>
              <w:top w:val="single" w:color="auto" w:sz="12" w:space="0"/>
              <w:right w:val="single" w:color="auto" w:sz="4" w:space="0"/>
            </w:tcBorders>
            <w:vAlign w:val="center"/>
          </w:tcPr>
          <w:p>
            <w:pPr>
              <w:pStyle w:val="261"/>
              <w:numPr>
                <w:ilvl w:val="0"/>
                <w:numId w:val="0"/>
              </w:numPr>
              <w:tabs>
                <w:tab w:val="left" w:pos="850"/>
              </w:tabs>
              <w:spacing w:beforeLines="0" w:afterLines="0" w:line="240" w:lineRule="auto"/>
              <w:jc w:val="center"/>
              <w:rPr>
                <w:rFonts w:eastAsia="宋体"/>
                <w:sz w:val="18"/>
                <w:szCs w:val="18"/>
              </w:rPr>
            </w:pPr>
            <w:r>
              <w:rPr>
                <w:rFonts w:hint="eastAsia" w:eastAsia="宋体"/>
                <w:sz w:val="18"/>
                <w:szCs w:val="18"/>
              </w:rPr>
              <w:t>不带冷却风扇的冷凝机组</w:t>
            </w:r>
          </w:p>
        </w:tc>
        <w:tc>
          <w:tcPr>
            <w:tcW w:w="3491" w:type="dxa"/>
            <w:tcBorders>
              <w:top w:val="single" w:color="auto" w:sz="12" w:space="0"/>
              <w:right w:val="single" w:color="auto" w:sz="12" w:space="0"/>
            </w:tcBorders>
            <w:vAlign w:val="center"/>
          </w:tcPr>
          <w:p>
            <w:pPr>
              <w:pStyle w:val="261"/>
              <w:numPr>
                <w:ilvl w:val="0"/>
                <w:numId w:val="0"/>
              </w:numPr>
              <w:tabs>
                <w:tab w:val="left" w:pos="850"/>
              </w:tabs>
              <w:spacing w:beforeLines="0" w:afterLines="0" w:line="240" w:lineRule="auto"/>
              <w:jc w:val="center"/>
              <w:rPr>
                <w:rFonts w:eastAsia="宋体"/>
                <w:sz w:val="18"/>
                <w:szCs w:val="18"/>
              </w:rPr>
            </w:pPr>
            <w:r>
              <w:rPr>
                <w:rFonts w:hint="eastAsia" w:eastAsia="宋体"/>
                <w:sz w:val="18"/>
                <w:szCs w:val="18"/>
              </w:rPr>
              <w:t>带冷却风扇的冷凝机组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714" w:type="dxa"/>
            <w:tcBorders>
              <w:left w:val="single" w:color="auto" w:sz="12" w:space="0"/>
            </w:tcBorders>
            <w:vAlign w:val="center"/>
          </w:tcPr>
          <w:p>
            <w:pPr>
              <w:pStyle w:val="261"/>
              <w:numPr>
                <w:ilvl w:val="0"/>
                <w:numId w:val="0"/>
              </w:numPr>
              <w:tabs>
                <w:tab w:val="left" w:pos="850"/>
              </w:tabs>
              <w:spacing w:beforeLines="0" w:afterLines="0" w:line="240" w:lineRule="auto"/>
              <w:jc w:val="center"/>
              <w:rPr>
                <w:rFonts w:eastAsia="宋体"/>
                <w:sz w:val="18"/>
                <w:szCs w:val="18"/>
              </w:rPr>
            </w:pPr>
            <w:r>
              <w:rPr>
                <w:rFonts w:hint="eastAsia" w:eastAsia="宋体"/>
                <w:i/>
                <w:iCs/>
                <w:sz w:val="18"/>
                <w:szCs w:val="18"/>
              </w:rPr>
              <w:t>P</w:t>
            </w:r>
            <w:r>
              <w:rPr>
                <w:rFonts w:hint="eastAsia" w:eastAsia="宋体"/>
                <w:sz w:val="18"/>
                <w:szCs w:val="18"/>
              </w:rPr>
              <w:t>≤0.25</w:t>
            </w:r>
          </w:p>
        </w:tc>
        <w:tc>
          <w:tcPr>
            <w:tcW w:w="3248" w:type="dxa"/>
            <w:tcBorders>
              <w:right w:val="single" w:color="auto" w:sz="4" w:space="0"/>
            </w:tcBorders>
            <w:vAlign w:val="center"/>
          </w:tcPr>
          <w:p>
            <w:pPr>
              <w:pStyle w:val="261"/>
              <w:numPr>
                <w:ilvl w:val="0"/>
                <w:numId w:val="0"/>
              </w:numPr>
              <w:tabs>
                <w:tab w:val="left" w:pos="850"/>
              </w:tabs>
              <w:spacing w:beforeLines="0" w:afterLines="0" w:line="240" w:lineRule="auto"/>
              <w:jc w:val="center"/>
              <w:rPr>
                <w:rFonts w:eastAsia="宋体"/>
                <w:sz w:val="18"/>
                <w:szCs w:val="18"/>
              </w:rPr>
            </w:pPr>
            <w:r>
              <w:rPr>
                <w:rFonts w:hint="eastAsia" w:eastAsia="宋体"/>
                <w:sz w:val="18"/>
                <w:szCs w:val="18"/>
              </w:rPr>
              <w:t>≤48</w:t>
            </w:r>
          </w:p>
        </w:tc>
        <w:tc>
          <w:tcPr>
            <w:tcW w:w="3491" w:type="dxa"/>
            <w:tcBorders>
              <w:right w:val="single" w:color="auto" w:sz="12" w:space="0"/>
            </w:tcBorders>
            <w:vAlign w:val="center"/>
          </w:tcPr>
          <w:p>
            <w:pPr>
              <w:pStyle w:val="261"/>
              <w:numPr>
                <w:ilvl w:val="1"/>
                <w:numId w:val="0"/>
              </w:numPr>
              <w:tabs>
                <w:tab w:val="left" w:pos="850"/>
              </w:tabs>
              <w:spacing w:beforeLines="0" w:afterLines="0" w:line="240" w:lineRule="auto"/>
              <w:jc w:val="center"/>
              <w:rPr>
                <w:rFonts w:eastAsia="宋体"/>
                <w:sz w:val="18"/>
                <w:szCs w:val="18"/>
              </w:rPr>
            </w:pPr>
            <w:r>
              <w:rPr>
                <w:rFonts w:hint="eastAsia" w:eastAsia="宋体"/>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714" w:type="dxa"/>
            <w:tcBorders>
              <w:left w:val="single" w:color="auto" w:sz="12" w:space="0"/>
            </w:tcBorders>
            <w:vAlign w:val="center"/>
          </w:tcPr>
          <w:p>
            <w:pPr>
              <w:pStyle w:val="261"/>
              <w:numPr>
                <w:ilvl w:val="0"/>
                <w:numId w:val="0"/>
              </w:numPr>
              <w:tabs>
                <w:tab w:val="left" w:pos="850"/>
              </w:tabs>
              <w:spacing w:beforeLines="0" w:afterLines="0" w:line="240" w:lineRule="auto"/>
              <w:jc w:val="center"/>
              <w:rPr>
                <w:rFonts w:eastAsia="宋体"/>
                <w:sz w:val="18"/>
                <w:szCs w:val="18"/>
              </w:rPr>
            </w:pPr>
            <w:r>
              <w:rPr>
                <w:rFonts w:hint="eastAsia" w:eastAsia="宋体"/>
                <w:sz w:val="18"/>
                <w:szCs w:val="18"/>
              </w:rPr>
              <w:t>0.25＜</w:t>
            </w:r>
            <w:r>
              <w:rPr>
                <w:rFonts w:hint="eastAsia" w:eastAsia="宋体"/>
                <w:i/>
                <w:iCs/>
                <w:sz w:val="18"/>
                <w:szCs w:val="18"/>
              </w:rPr>
              <w:t>P</w:t>
            </w:r>
            <w:r>
              <w:rPr>
                <w:rFonts w:hint="eastAsia" w:eastAsia="宋体"/>
                <w:sz w:val="18"/>
                <w:szCs w:val="18"/>
              </w:rPr>
              <w:t>≤0.5</w:t>
            </w:r>
          </w:p>
        </w:tc>
        <w:tc>
          <w:tcPr>
            <w:tcW w:w="3248" w:type="dxa"/>
            <w:tcBorders>
              <w:right w:val="single" w:color="auto" w:sz="4" w:space="0"/>
            </w:tcBorders>
            <w:vAlign w:val="center"/>
          </w:tcPr>
          <w:p>
            <w:pPr>
              <w:pStyle w:val="261"/>
              <w:numPr>
                <w:ilvl w:val="0"/>
                <w:numId w:val="0"/>
              </w:numPr>
              <w:tabs>
                <w:tab w:val="left" w:pos="850"/>
              </w:tabs>
              <w:spacing w:beforeLines="0" w:afterLines="0" w:line="240" w:lineRule="auto"/>
              <w:jc w:val="center"/>
              <w:rPr>
                <w:rFonts w:eastAsia="宋体"/>
                <w:sz w:val="18"/>
                <w:szCs w:val="18"/>
              </w:rPr>
            </w:pPr>
            <w:r>
              <w:rPr>
                <w:rFonts w:hint="eastAsia" w:eastAsia="宋体"/>
                <w:sz w:val="18"/>
                <w:szCs w:val="18"/>
              </w:rPr>
              <w:t>≤50</w:t>
            </w:r>
          </w:p>
        </w:tc>
        <w:tc>
          <w:tcPr>
            <w:tcW w:w="3491" w:type="dxa"/>
            <w:tcBorders>
              <w:right w:val="single" w:color="auto" w:sz="12" w:space="0"/>
            </w:tcBorders>
            <w:vAlign w:val="center"/>
          </w:tcPr>
          <w:p>
            <w:pPr>
              <w:pStyle w:val="261"/>
              <w:numPr>
                <w:ilvl w:val="1"/>
                <w:numId w:val="0"/>
              </w:numPr>
              <w:tabs>
                <w:tab w:val="left" w:pos="850"/>
              </w:tabs>
              <w:spacing w:beforeLines="0" w:afterLines="0" w:line="240" w:lineRule="auto"/>
              <w:jc w:val="center"/>
              <w:rPr>
                <w:rFonts w:eastAsia="宋体"/>
                <w:sz w:val="18"/>
                <w:szCs w:val="18"/>
              </w:rPr>
            </w:pPr>
            <w:r>
              <w:rPr>
                <w:rFonts w:hint="eastAsia" w:eastAsia="宋体"/>
                <w:sz w:val="18"/>
                <w:szCs w:val="18"/>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714" w:type="dxa"/>
            <w:tcBorders>
              <w:left w:val="single" w:color="auto" w:sz="12" w:space="0"/>
            </w:tcBorders>
            <w:vAlign w:val="center"/>
          </w:tcPr>
          <w:p>
            <w:pPr>
              <w:pStyle w:val="261"/>
              <w:numPr>
                <w:ilvl w:val="0"/>
                <w:numId w:val="0"/>
              </w:numPr>
              <w:tabs>
                <w:tab w:val="left" w:pos="850"/>
              </w:tabs>
              <w:spacing w:beforeLines="0" w:afterLines="0" w:line="240" w:lineRule="auto"/>
              <w:jc w:val="center"/>
              <w:rPr>
                <w:rFonts w:eastAsia="宋体"/>
                <w:sz w:val="18"/>
                <w:szCs w:val="18"/>
              </w:rPr>
            </w:pPr>
            <w:r>
              <w:rPr>
                <w:rFonts w:hint="eastAsia" w:eastAsia="宋体"/>
                <w:sz w:val="18"/>
                <w:szCs w:val="18"/>
              </w:rPr>
              <w:t>0.5＜</w:t>
            </w:r>
            <w:r>
              <w:rPr>
                <w:rFonts w:hint="eastAsia" w:eastAsia="宋体"/>
                <w:i/>
                <w:iCs/>
                <w:sz w:val="18"/>
                <w:szCs w:val="18"/>
              </w:rPr>
              <w:t>P</w:t>
            </w:r>
            <w:r>
              <w:rPr>
                <w:rFonts w:hint="eastAsia" w:eastAsia="宋体"/>
                <w:sz w:val="18"/>
                <w:szCs w:val="18"/>
              </w:rPr>
              <w:t>≤0.75</w:t>
            </w:r>
          </w:p>
        </w:tc>
        <w:tc>
          <w:tcPr>
            <w:tcW w:w="3248" w:type="dxa"/>
            <w:tcBorders>
              <w:right w:val="single" w:color="auto" w:sz="4" w:space="0"/>
            </w:tcBorders>
            <w:vAlign w:val="center"/>
          </w:tcPr>
          <w:p>
            <w:pPr>
              <w:pStyle w:val="261"/>
              <w:numPr>
                <w:ilvl w:val="0"/>
                <w:numId w:val="0"/>
              </w:numPr>
              <w:tabs>
                <w:tab w:val="left" w:pos="850"/>
              </w:tabs>
              <w:spacing w:beforeLines="0" w:afterLines="0" w:line="240" w:lineRule="auto"/>
              <w:jc w:val="center"/>
              <w:rPr>
                <w:rFonts w:eastAsia="宋体"/>
                <w:sz w:val="18"/>
                <w:szCs w:val="18"/>
              </w:rPr>
            </w:pPr>
            <w:r>
              <w:rPr>
                <w:rFonts w:hint="eastAsia" w:eastAsia="宋体"/>
                <w:sz w:val="18"/>
                <w:szCs w:val="18"/>
              </w:rPr>
              <w:t>≤52</w:t>
            </w:r>
          </w:p>
        </w:tc>
        <w:tc>
          <w:tcPr>
            <w:tcW w:w="3491" w:type="dxa"/>
            <w:tcBorders>
              <w:right w:val="single" w:color="auto" w:sz="12" w:space="0"/>
            </w:tcBorders>
            <w:vAlign w:val="center"/>
          </w:tcPr>
          <w:p>
            <w:pPr>
              <w:pStyle w:val="261"/>
              <w:numPr>
                <w:ilvl w:val="1"/>
                <w:numId w:val="0"/>
              </w:numPr>
              <w:tabs>
                <w:tab w:val="left" w:pos="850"/>
              </w:tabs>
              <w:spacing w:beforeLines="0" w:afterLines="0" w:line="240" w:lineRule="auto"/>
              <w:jc w:val="center"/>
              <w:rPr>
                <w:rFonts w:eastAsia="宋体"/>
                <w:sz w:val="18"/>
                <w:szCs w:val="18"/>
              </w:rPr>
            </w:pPr>
            <w:r>
              <w:rPr>
                <w:rFonts w:hint="eastAsia" w:eastAsia="宋体"/>
                <w:sz w:val="18"/>
                <w:szCs w:val="18"/>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714" w:type="dxa"/>
            <w:tcBorders>
              <w:left w:val="single" w:color="auto" w:sz="12" w:space="0"/>
              <w:bottom w:val="single" w:color="auto" w:sz="12" w:space="0"/>
            </w:tcBorders>
            <w:vAlign w:val="center"/>
          </w:tcPr>
          <w:p>
            <w:pPr>
              <w:pStyle w:val="261"/>
              <w:numPr>
                <w:ilvl w:val="1"/>
                <w:numId w:val="0"/>
              </w:numPr>
              <w:tabs>
                <w:tab w:val="left" w:pos="850"/>
              </w:tabs>
              <w:spacing w:beforeLines="0" w:afterLines="0" w:line="240" w:lineRule="auto"/>
              <w:jc w:val="center"/>
              <w:rPr>
                <w:rFonts w:eastAsia="宋体"/>
                <w:sz w:val="18"/>
                <w:szCs w:val="18"/>
              </w:rPr>
            </w:pPr>
            <w:r>
              <w:rPr>
                <w:rFonts w:hint="eastAsia" w:eastAsia="宋体"/>
                <w:sz w:val="18"/>
                <w:szCs w:val="18"/>
              </w:rPr>
              <w:t>0.75＜</w:t>
            </w:r>
            <w:r>
              <w:rPr>
                <w:rFonts w:hint="eastAsia" w:eastAsia="宋体"/>
                <w:i/>
                <w:iCs/>
                <w:sz w:val="18"/>
                <w:szCs w:val="18"/>
              </w:rPr>
              <w:t>P</w:t>
            </w:r>
            <w:r>
              <w:rPr>
                <w:rFonts w:hint="eastAsia" w:eastAsia="宋体"/>
                <w:sz w:val="18"/>
                <w:szCs w:val="18"/>
              </w:rPr>
              <w:t>≤1.5</w:t>
            </w:r>
          </w:p>
        </w:tc>
        <w:tc>
          <w:tcPr>
            <w:tcW w:w="3248" w:type="dxa"/>
            <w:tcBorders>
              <w:bottom w:val="single" w:color="auto" w:sz="12" w:space="0"/>
              <w:right w:val="single" w:color="auto" w:sz="4" w:space="0"/>
            </w:tcBorders>
            <w:vAlign w:val="center"/>
          </w:tcPr>
          <w:p>
            <w:pPr>
              <w:pStyle w:val="261"/>
              <w:numPr>
                <w:ilvl w:val="0"/>
                <w:numId w:val="0"/>
              </w:numPr>
              <w:tabs>
                <w:tab w:val="left" w:pos="850"/>
              </w:tabs>
              <w:spacing w:beforeLines="0" w:afterLines="0" w:line="240" w:lineRule="auto"/>
              <w:jc w:val="center"/>
              <w:rPr>
                <w:rFonts w:eastAsia="宋体"/>
                <w:sz w:val="18"/>
                <w:szCs w:val="18"/>
              </w:rPr>
            </w:pPr>
            <w:r>
              <w:rPr>
                <w:rFonts w:hint="eastAsia" w:eastAsia="宋体"/>
                <w:sz w:val="18"/>
                <w:szCs w:val="18"/>
              </w:rPr>
              <w:t>≤53</w:t>
            </w:r>
          </w:p>
        </w:tc>
        <w:tc>
          <w:tcPr>
            <w:tcW w:w="3491" w:type="dxa"/>
            <w:tcBorders>
              <w:bottom w:val="single" w:color="auto" w:sz="12" w:space="0"/>
              <w:right w:val="single" w:color="auto" w:sz="12" w:space="0"/>
            </w:tcBorders>
            <w:vAlign w:val="center"/>
          </w:tcPr>
          <w:p>
            <w:pPr>
              <w:pStyle w:val="261"/>
              <w:numPr>
                <w:ilvl w:val="1"/>
                <w:numId w:val="0"/>
              </w:numPr>
              <w:tabs>
                <w:tab w:val="left" w:pos="850"/>
              </w:tabs>
              <w:spacing w:beforeLines="0" w:afterLines="0" w:line="240" w:lineRule="auto"/>
              <w:jc w:val="center"/>
              <w:rPr>
                <w:rFonts w:eastAsia="宋体"/>
                <w:sz w:val="18"/>
                <w:szCs w:val="18"/>
              </w:rPr>
            </w:pPr>
            <w:r>
              <w:rPr>
                <w:rFonts w:hint="eastAsia" w:eastAsia="宋体"/>
                <w:sz w:val="18"/>
                <w:szCs w:val="18"/>
              </w:rPr>
              <w:t>≤55</w:t>
            </w:r>
          </w:p>
        </w:tc>
      </w:tr>
    </w:tbl>
    <w:p>
      <w:pPr>
        <w:pStyle w:val="119"/>
        <w:spacing w:before="156" w:after="156"/>
        <w:rPr>
          <w:rFonts w:hAnsi="黑体"/>
          <w:color w:val="auto"/>
          <w:szCs w:val="21"/>
        </w:rPr>
      </w:pPr>
      <w:r>
        <w:rPr>
          <w:rFonts w:hint="eastAsia" w:hAnsi="黑体"/>
          <w:color w:val="auto"/>
          <w:w w:val="105"/>
          <w:szCs w:val="21"/>
        </w:rPr>
        <w:t>水蒸气凝结</w:t>
      </w:r>
    </w:p>
    <w:p>
      <w:pPr>
        <w:ind w:firstLine="420" w:firstLineChars="200"/>
      </w:pPr>
      <w:r>
        <w:rPr>
          <w:rFonts w:hint="eastAsia"/>
          <w:color w:val="auto"/>
        </w:rPr>
        <w:t>按5.8的方法进行</w:t>
      </w:r>
      <w:r>
        <w:rPr>
          <w:rFonts w:hint="eastAsia" w:hAnsi="黑体"/>
          <w:color w:val="auto"/>
          <w:w w:val="105"/>
          <w:szCs w:val="21"/>
        </w:rPr>
        <w:t>水蒸气凝结</w:t>
      </w:r>
      <w:r>
        <w:rPr>
          <w:rFonts w:hint="eastAsia"/>
          <w:color w:val="auto"/>
        </w:rPr>
        <w:t>试验时，</w:t>
      </w:r>
      <w:r>
        <w:rPr>
          <w:rFonts w:hint="eastAsia" w:ascii="宋体" w:eastAsia="宋体" w:cstheme="minorBidi"/>
          <w:kern w:val="2"/>
          <w:szCs w:val="22"/>
          <w:lang w:eastAsia="zh-CN"/>
        </w:rPr>
        <w:t>商用冷柜</w:t>
      </w:r>
      <w:r>
        <w:rPr>
          <w:rFonts w:hint="eastAsia"/>
          <w:color w:val="auto"/>
        </w:rPr>
        <w:t>外表</w:t>
      </w:r>
      <w:r>
        <w:rPr>
          <w:rFonts w:hint="eastAsia"/>
        </w:rPr>
        <w:t>面不允许出现流水状级凝露。</w:t>
      </w:r>
    </w:p>
    <w:p>
      <w:pPr>
        <w:pStyle w:val="119"/>
        <w:spacing w:before="156" w:after="156"/>
        <w:rPr>
          <w:w w:val="105"/>
          <w:szCs w:val="21"/>
        </w:rPr>
      </w:pPr>
      <w:r>
        <w:rPr>
          <w:rFonts w:hAnsi="黑体"/>
          <w:w w:val="105"/>
          <w:szCs w:val="21"/>
        </w:rPr>
        <w:t>门</w:t>
      </w:r>
      <w:r>
        <w:rPr>
          <w:rFonts w:hint="eastAsia" w:hAnsi="黑体"/>
          <w:w w:val="105"/>
          <w:szCs w:val="21"/>
        </w:rPr>
        <w:t>和</w:t>
      </w:r>
      <w:r>
        <w:rPr>
          <w:rFonts w:hAnsi="黑体"/>
          <w:w w:val="105"/>
          <w:szCs w:val="21"/>
        </w:rPr>
        <w:t>盖的密封试验</w:t>
      </w:r>
    </w:p>
    <w:p>
      <w:pPr>
        <w:ind w:firstLine="420" w:firstLineChars="200"/>
      </w:pPr>
      <w:r>
        <w:rPr>
          <w:rFonts w:hint="eastAsia"/>
        </w:rPr>
        <w:t>门封或盖封应有良好的气密性。当箱门（或盖）关闭后，门封（或盖封）四周应严密，按5.9的方法进行气密性试验时，试验纸片不应自由滑动。</w:t>
      </w:r>
    </w:p>
    <w:p>
      <w:pPr>
        <w:pStyle w:val="119"/>
        <w:spacing w:before="156" w:after="156"/>
        <w:rPr>
          <w:rFonts w:hAnsi="黑体"/>
          <w:szCs w:val="21"/>
        </w:rPr>
      </w:pPr>
      <w:r>
        <w:rPr>
          <w:rFonts w:hAnsi="黑体"/>
          <w:szCs w:val="21"/>
        </w:rPr>
        <w:t>制冷系统密封性能</w:t>
      </w:r>
    </w:p>
    <w:p>
      <w:pPr>
        <w:ind w:firstLine="420" w:firstLineChars="200"/>
      </w:pPr>
      <w:r>
        <w:rPr>
          <w:rFonts w:hint="eastAsia"/>
        </w:rPr>
        <w:t>制冷系统按5.10的方法进行密封性试验后，任何部位制冷剂年泄漏量均应不大于0.5g。</w:t>
      </w:r>
    </w:p>
    <w:p>
      <w:pPr>
        <w:pStyle w:val="119"/>
        <w:spacing w:before="156" w:after="156"/>
        <w:rPr>
          <w:color w:val="auto"/>
        </w:rPr>
      </w:pPr>
      <w:r>
        <w:rPr>
          <w:rFonts w:hint="eastAsia"/>
          <w:color w:val="auto"/>
        </w:rPr>
        <w:t>振动</w:t>
      </w:r>
    </w:p>
    <w:p>
      <w:pPr>
        <w:rPr>
          <w:color w:val="auto"/>
        </w:rPr>
      </w:pPr>
      <w:r>
        <w:rPr>
          <w:rFonts w:hint="eastAsia"/>
          <w:color w:val="auto"/>
        </w:rPr>
        <w:t xml:space="preserve">    </w:t>
      </w:r>
      <w:r>
        <w:rPr>
          <w:rFonts w:hint="eastAsia" w:ascii="宋体" w:eastAsia="宋体" w:cstheme="minorBidi"/>
          <w:kern w:val="2"/>
          <w:szCs w:val="22"/>
          <w:lang w:eastAsia="zh-CN"/>
        </w:rPr>
        <w:t>商用冷柜</w:t>
      </w:r>
      <w:r>
        <w:rPr>
          <w:rFonts w:hint="eastAsia"/>
          <w:color w:val="auto"/>
        </w:rPr>
        <w:t>应运行平稳。按5.11进行试验时,其振动速度的有效值不大于1.8mm/s。</w:t>
      </w:r>
    </w:p>
    <w:p>
      <w:pPr>
        <w:pStyle w:val="119"/>
        <w:spacing w:before="156" w:after="156"/>
        <w:rPr>
          <w:rFonts w:hAnsi="黑体"/>
          <w:szCs w:val="21"/>
        </w:rPr>
      </w:pPr>
      <w:r>
        <w:rPr>
          <w:rFonts w:hint="eastAsia" w:hAnsi="黑体"/>
          <w:szCs w:val="21"/>
        </w:rPr>
        <w:t>安全</w:t>
      </w:r>
    </w:p>
    <w:p>
      <w:pPr>
        <w:ind w:firstLine="420" w:firstLineChars="200"/>
      </w:pPr>
      <w:r>
        <w:rPr>
          <w:rFonts w:hint="eastAsia"/>
        </w:rPr>
        <w:t>按5.12的方法进行试验，</w:t>
      </w:r>
      <w:r>
        <w:rPr>
          <w:rFonts w:hint="eastAsia" w:ascii="宋体" w:eastAsia="宋体" w:cstheme="minorBidi"/>
          <w:kern w:val="2"/>
          <w:szCs w:val="22"/>
          <w:lang w:eastAsia="zh-CN"/>
        </w:rPr>
        <w:t>商用冷柜</w:t>
      </w:r>
      <w:r>
        <w:rPr>
          <w:rFonts w:hint="eastAsia" w:cstheme="minorBidi"/>
          <w:kern w:val="2"/>
          <w:szCs w:val="22"/>
          <w:lang w:eastAsia="zh-CN"/>
        </w:rPr>
        <w:t>的</w:t>
      </w:r>
      <w:r>
        <w:rPr>
          <w:rFonts w:hint="eastAsia"/>
        </w:rPr>
        <w:t>安全应符合GB 4706.1、GB 4706.102的要求。</w:t>
      </w:r>
    </w:p>
    <w:p>
      <w:pPr>
        <w:pStyle w:val="119"/>
        <w:spacing w:before="156" w:after="156"/>
        <w:rPr>
          <w:rFonts w:hAnsi="黑体"/>
          <w:szCs w:val="21"/>
        </w:rPr>
      </w:pPr>
      <w:r>
        <w:rPr>
          <w:rFonts w:hint="eastAsia" w:hAnsi="黑体"/>
          <w:szCs w:val="21"/>
        </w:rPr>
        <w:t>电磁兼容</w:t>
      </w:r>
    </w:p>
    <w:p>
      <w:pPr>
        <w:ind w:firstLine="420" w:firstLineChars="200"/>
      </w:pPr>
      <w:r>
        <w:rPr>
          <w:rFonts w:hint="eastAsia"/>
        </w:rPr>
        <w:t>按5.13的方法进行试验，</w:t>
      </w:r>
      <w:r>
        <w:rPr>
          <w:rFonts w:hint="eastAsia" w:ascii="宋体" w:eastAsia="宋体" w:cstheme="minorBidi"/>
          <w:kern w:val="2"/>
          <w:szCs w:val="22"/>
          <w:lang w:eastAsia="zh-CN"/>
        </w:rPr>
        <w:t>商用冷柜</w:t>
      </w:r>
      <w:r>
        <w:rPr>
          <w:rFonts w:hint="eastAsia" w:cstheme="minorBidi"/>
          <w:kern w:val="2"/>
          <w:szCs w:val="22"/>
          <w:lang w:eastAsia="zh-CN"/>
        </w:rPr>
        <w:t>的</w:t>
      </w:r>
      <w:r>
        <w:rPr>
          <w:rFonts w:hint="eastAsia"/>
        </w:rPr>
        <w:t>电磁兼容应符合GB 17625.1和GB 4343.1的要求。</w:t>
      </w:r>
    </w:p>
    <w:p>
      <w:pPr>
        <w:pStyle w:val="119"/>
        <w:spacing w:before="156" w:after="156"/>
        <w:rPr>
          <w:rFonts w:hAnsi="黑体"/>
          <w:szCs w:val="21"/>
        </w:rPr>
      </w:pPr>
      <w:r>
        <w:rPr>
          <w:rFonts w:hint="eastAsia" w:hAnsi="黑体"/>
          <w:szCs w:val="21"/>
        </w:rPr>
        <w:t>限用物质</w:t>
      </w:r>
    </w:p>
    <w:p>
      <w:pPr>
        <w:ind w:firstLine="448"/>
        <w:rPr>
          <w:szCs w:val="21"/>
        </w:rPr>
      </w:pPr>
      <w:r>
        <w:rPr>
          <w:rFonts w:hint="eastAsia"/>
          <w:szCs w:val="21"/>
        </w:rPr>
        <w:t>按5.14的方法</w:t>
      </w:r>
      <w:r>
        <w:rPr>
          <w:rFonts w:hint="eastAsia"/>
        </w:rPr>
        <w:t>进行</w:t>
      </w:r>
      <w:r>
        <w:rPr>
          <w:rFonts w:hint="eastAsia"/>
          <w:szCs w:val="21"/>
        </w:rPr>
        <w:t>试验，</w:t>
      </w:r>
      <w:r>
        <w:rPr>
          <w:rFonts w:hint="eastAsia" w:ascii="宋体" w:eastAsia="宋体" w:cstheme="minorBidi"/>
          <w:kern w:val="2"/>
          <w:szCs w:val="22"/>
          <w:lang w:eastAsia="zh-CN"/>
        </w:rPr>
        <w:t>商用冷柜</w:t>
      </w:r>
      <w:r>
        <w:rPr>
          <w:rFonts w:hint="eastAsia" w:cstheme="minorBidi"/>
          <w:kern w:val="2"/>
          <w:szCs w:val="22"/>
          <w:lang w:eastAsia="zh-CN"/>
        </w:rPr>
        <w:t>的</w:t>
      </w:r>
      <w:r>
        <w:rPr>
          <w:rFonts w:hint="eastAsia"/>
          <w:szCs w:val="21"/>
        </w:rPr>
        <w:t>限用物质应符合GB/T 26572的要求。</w:t>
      </w:r>
    </w:p>
    <w:p>
      <w:pPr>
        <w:pStyle w:val="119"/>
        <w:spacing w:before="156" w:after="156"/>
        <w:rPr>
          <w:rFonts w:hAnsi="黑体"/>
          <w:szCs w:val="21"/>
        </w:rPr>
      </w:pPr>
      <w:r>
        <w:rPr>
          <w:rFonts w:hint="eastAsia" w:hAnsi="黑体"/>
          <w:szCs w:val="21"/>
        </w:rPr>
        <w:t>食品接触材料安全</w:t>
      </w:r>
    </w:p>
    <w:p>
      <w:pPr>
        <w:ind w:firstLine="420" w:firstLineChars="200"/>
        <w:rPr>
          <w:rFonts w:hint="eastAsia"/>
        </w:rPr>
      </w:pPr>
      <w:r>
        <w:rPr>
          <w:rFonts w:hint="eastAsia"/>
        </w:rPr>
        <w:t>按5.15的方法进行试验，</w:t>
      </w:r>
      <w:r>
        <w:rPr>
          <w:rFonts w:hint="eastAsia" w:ascii="宋体" w:eastAsia="宋体" w:cstheme="minorBidi"/>
          <w:kern w:val="2"/>
          <w:szCs w:val="22"/>
          <w:lang w:eastAsia="zh-CN"/>
        </w:rPr>
        <w:t>商用冷柜</w:t>
      </w:r>
      <w:r>
        <w:rPr>
          <w:rFonts w:hint="eastAsia"/>
        </w:rPr>
        <w:t>中与食品接触材料安全应符合GB 4806.1和表</w:t>
      </w:r>
      <w:r>
        <w:rPr>
          <w:rFonts w:hint="eastAsia"/>
          <w:lang w:val="en-US" w:eastAsia="zh-CN"/>
        </w:rPr>
        <w:t>3</w:t>
      </w:r>
      <w:r>
        <w:rPr>
          <w:rFonts w:hint="eastAsia"/>
        </w:rPr>
        <w:t>的要求。</w:t>
      </w:r>
    </w:p>
    <w:p>
      <w:pPr>
        <w:pStyle w:val="208"/>
        <w:tabs>
          <w:tab w:val="left" w:pos="0"/>
        </w:tabs>
        <w:spacing w:before="156" w:after="156"/>
      </w:pPr>
      <w:r>
        <w:rPr>
          <w:rFonts w:hint="eastAsia"/>
        </w:rPr>
        <w:t>与食品接触材料安全要求</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9"/>
        <w:gridCol w:w="3772"/>
        <w:gridCol w:w="4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9" w:type="dxa"/>
            <w:tcBorders>
              <w:top w:val="single" w:color="auto" w:sz="12" w:space="0"/>
              <w:left w:val="single" w:color="auto" w:sz="12" w:space="0"/>
              <w:bottom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序号</w:t>
            </w:r>
          </w:p>
        </w:tc>
        <w:tc>
          <w:tcPr>
            <w:tcW w:w="3772" w:type="dxa"/>
            <w:tcBorders>
              <w:top w:val="single" w:color="auto" w:sz="12" w:space="0"/>
              <w:bottom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部件</w:t>
            </w:r>
            <w:r>
              <w:rPr>
                <w:rFonts w:hAnsi="宋体" w:cs="宋体"/>
                <w:sz w:val="18"/>
                <w:szCs w:val="18"/>
              </w:rPr>
              <w:t>/</w:t>
            </w:r>
            <w:r>
              <w:rPr>
                <w:rFonts w:hint="eastAsia" w:hAnsi="宋体" w:cs="宋体"/>
                <w:sz w:val="18"/>
                <w:szCs w:val="18"/>
              </w:rPr>
              <w:t>部位</w:t>
            </w:r>
          </w:p>
        </w:tc>
        <w:tc>
          <w:tcPr>
            <w:tcW w:w="4240" w:type="dxa"/>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要求及其试验方法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469" w:type="dxa"/>
            <w:tcBorders>
              <w:top w:val="single" w:color="auto" w:sz="12" w:space="0"/>
              <w:lef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1</w:t>
            </w:r>
          </w:p>
        </w:tc>
        <w:tc>
          <w:tcPr>
            <w:tcW w:w="3772" w:type="dxa"/>
            <w:tcBorders>
              <w:top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塑料树脂</w:t>
            </w:r>
          </w:p>
        </w:tc>
        <w:tc>
          <w:tcPr>
            <w:tcW w:w="4240" w:type="dxa"/>
            <w:tcBorders>
              <w:top w:val="single" w:color="auto" w:sz="12" w:space="0"/>
              <w:right w:val="single" w:color="auto" w:sz="12" w:space="0"/>
            </w:tcBorders>
            <w:vAlign w:val="center"/>
          </w:tcPr>
          <w:p>
            <w:pPr>
              <w:numPr>
                <w:ilvl w:val="0"/>
                <w:numId w:val="0"/>
              </w:numPr>
              <w:tabs>
                <w:tab w:val="left" w:pos="850"/>
              </w:tabs>
              <w:jc w:val="center"/>
              <w:rPr>
                <w:rFonts w:hAnsi="宋体" w:cs="宋体"/>
                <w:szCs w:val="18"/>
              </w:rPr>
            </w:pPr>
            <w:r>
              <w:rPr>
                <w:rFonts w:hint="eastAsia"/>
                <w:sz w:val="18"/>
                <w:szCs w:val="18"/>
              </w:rPr>
              <w:t>GB 4806.6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1469" w:type="dxa"/>
            <w:tcBorders>
              <w:lef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2</w:t>
            </w:r>
          </w:p>
        </w:tc>
        <w:tc>
          <w:tcPr>
            <w:tcW w:w="3772" w:type="dxa"/>
            <w:vAlign w:val="center"/>
          </w:tcPr>
          <w:p>
            <w:pPr>
              <w:numPr>
                <w:ilvl w:val="0"/>
                <w:numId w:val="0"/>
              </w:numPr>
              <w:tabs>
                <w:tab w:val="left" w:pos="850"/>
              </w:tabs>
              <w:jc w:val="center"/>
              <w:rPr>
                <w:rFonts w:hAnsi="宋体" w:cs="宋体"/>
                <w:szCs w:val="18"/>
              </w:rPr>
            </w:pPr>
            <w:r>
              <w:rPr>
                <w:rFonts w:hint="eastAsia" w:hAnsi="宋体" w:cs="宋体"/>
                <w:sz w:val="18"/>
                <w:szCs w:val="18"/>
              </w:rPr>
              <w:t>塑料材料及制品</w:t>
            </w:r>
          </w:p>
        </w:tc>
        <w:tc>
          <w:tcPr>
            <w:tcW w:w="4240" w:type="dxa"/>
            <w:tcBorders>
              <w:right w:val="single" w:color="auto" w:sz="12" w:space="0"/>
            </w:tcBorders>
            <w:vAlign w:val="center"/>
          </w:tcPr>
          <w:p>
            <w:pPr>
              <w:numPr>
                <w:ilvl w:val="0"/>
                <w:numId w:val="0"/>
              </w:numPr>
              <w:tabs>
                <w:tab w:val="left" w:pos="850"/>
              </w:tabs>
              <w:jc w:val="center"/>
              <w:rPr>
                <w:rFonts w:hAnsi="宋体" w:cs="宋体"/>
                <w:szCs w:val="18"/>
              </w:rPr>
            </w:pPr>
            <w:r>
              <w:rPr>
                <w:rFonts w:hint="eastAsia"/>
                <w:sz w:val="18"/>
                <w:szCs w:val="18"/>
              </w:rPr>
              <w:t>GB 4806.7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469" w:type="dxa"/>
            <w:tcBorders>
              <w:lef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3</w:t>
            </w:r>
          </w:p>
        </w:tc>
        <w:tc>
          <w:tcPr>
            <w:tcW w:w="3772" w:type="dxa"/>
            <w:vAlign w:val="center"/>
          </w:tcPr>
          <w:p>
            <w:pPr>
              <w:numPr>
                <w:ilvl w:val="0"/>
                <w:numId w:val="0"/>
              </w:numPr>
              <w:tabs>
                <w:tab w:val="left" w:pos="850"/>
              </w:tabs>
              <w:jc w:val="center"/>
              <w:rPr>
                <w:rFonts w:hAnsi="宋体" w:cs="宋体"/>
                <w:szCs w:val="18"/>
              </w:rPr>
            </w:pPr>
            <w:r>
              <w:rPr>
                <w:rFonts w:hint="eastAsia" w:hAnsi="宋体" w:cs="宋体"/>
                <w:sz w:val="18"/>
                <w:szCs w:val="18"/>
              </w:rPr>
              <w:t>玻璃制品</w:t>
            </w:r>
          </w:p>
        </w:tc>
        <w:tc>
          <w:tcPr>
            <w:tcW w:w="4240" w:type="dxa"/>
            <w:tcBorders>
              <w:right w:val="single" w:color="auto" w:sz="12" w:space="0"/>
            </w:tcBorders>
            <w:vAlign w:val="center"/>
          </w:tcPr>
          <w:p>
            <w:pPr>
              <w:numPr>
                <w:ilvl w:val="0"/>
                <w:numId w:val="0"/>
              </w:numPr>
              <w:tabs>
                <w:tab w:val="left" w:pos="850"/>
              </w:tabs>
              <w:jc w:val="center"/>
              <w:rPr>
                <w:rFonts w:hAnsi="宋体" w:cs="宋体"/>
                <w:szCs w:val="18"/>
              </w:rPr>
            </w:pPr>
            <w:r>
              <w:rPr>
                <w:rFonts w:hint="eastAsia"/>
                <w:sz w:val="18"/>
                <w:szCs w:val="18"/>
              </w:rPr>
              <w:t>GB 4806.5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1" w:hRule="atLeast"/>
        </w:trPr>
        <w:tc>
          <w:tcPr>
            <w:tcW w:w="1469" w:type="dxa"/>
            <w:tcBorders>
              <w:lef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4</w:t>
            </w:r>
          </w:p>
        </w:tc>
        <w:tc>
          <w:tcPr>
            <w:tcW w:w="3772" w:type="dxa"/>
            <w:vAlign w:val="center"/>
          </w:tcPr>
          <w:p>
            <w:pPr>
              <w:numPr>
                <w:ilvl w:val="0"/>
                <w:numId w:val="0"/>
              </w:numPr>
              <w:tabs>
                <w:tab w:val="left" w:pos="850"/>
              </w:tabs>
              <w:jc w:val="center"/>
              <w:rPr>
                <w:rFonts w:hAnsi="宋体" w:cs="宋体"/>
                <w:szCs w:val="18"/>
              </w:rPr>
            </w:pPr>
            <w:r>
              <w:rPr>
                <w:rFonts w:hint="eastAsia" w:hAnsi="宋体" w:cs="宋体"/>
                <w:sz w:val="18"/>
                <w:szCs w:val="18"/>
              </w:rPr>
              <w:t>金属材料及制品</w:t>
            </w:r>
          </w:p>
        </w:tc>
        <w:tc>
          <w:tcPr>
            <w:tcW w:w="4240" w:type="dxa"/>
            <w:tcBorders>
              <w:right w:val="single" w:color="auto" w:sz="12" w:space="0"/>
            </w:tcBorders>
            <w:vAlign w:val="center"/>
          </w:tcPr>
          <w:p>
            <w:pPr>
              <w:numPr>
                <w:ilvl w:val="0"/>
                <w:numId w:val="0"/>
              </w:numPr>
              <w:tabs>
                <w:tab w:val="left" w:pos="850"/>
              </w:tabs>
              <w:jc w:val="center"/>
              <w:rPr>
                <w:rFonts w:hAnsi="宋体" w:cs="宋体"/>
                <w:szCs w:val="18"/>
              </w:rPr>
            </w:pPr>
            <w:r>
              <w:rPr>
                <w:rFonts w:hint="eastAsia"/>
                <w:sz w:val="18"/>
                <w:szCs w:val="18"/>
              </w:rPr>
              <w:t>GB 4806.9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69" w:type="dxa"/>
            <w:tcBorders>
              <w:left w:val="single" w:color="auto" w:sz="12" w:space="0"/>
              <w:bottom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5</w:t>
            </w:r>
          </w:p>
        </w:tc>
        <w:tc>
          <w:tcPr>
            <w:tcW w:w="3772" w:type="dxa"/>
            <w:tcBorders>
              <w:bottom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涂料及涂层</w:t>
            </w:r>
          </w:p>
        </w:tc>
        <w:tc>
          <w:tcPr>
            <w:tcW w:w="4240" w:type="dxa"/>
            <w:tcBorders>
              <w:bottom w:val="single" w:color="auto" w:sz="12" w:space="0"/>
              <w:right w:val="single" w:color="auto" w:sz="12" w:space="0"/>
            </w:tcBorders>
            <w:vAlign w:val="center"/>
          </w:tcPr>
          <w:p>
            <w:pPr>
              <w:numPr>
                <w:ilvl w:val="0"/>
                <w:numId w:val="0"/>
              </w:numPr>
              <w:tabs>
                <w:tab w:val="left" w:pos="850"/>
              </w:tabs>
              <w:jc w:val="center"/>
              <w:rPr>
                <w:rFonts w:hAnsi="宋体" w:cs="宋体"/>
                <w:szCs w:val="18"/>
              </w:rPr>
            </w:pPr>
            <w:r>
              <w:rPr>
                <w:rFonts w:hint="eastAsia"/>
                <w:sz w:val="18"/>
                <w:szCs w:val="18"/>
              </w:rPr>
              <w:t>GB 4806.10</w:t>
            </w:r>
          </w:p>
        </w:tc>
      </w:tr>
    </w:tbl>
    <w:p>
      <w:pPr>
        <w:pStyle w:val="119"/>
        <w:spacing w:before="156" w:after="156"/>
        <w:rPr>
          <w:rFonts w:hAnsi="黑体"/>
          <w:szCs w:val="21"/>
        </w:rPr>
      </w:pPr>
      <w:r>
        <w:rPr>
          <w:rFonts w:hint="eastAsia" w:hAnsi="黑体"/>
          <w:szCs w:val="21"/>
        </w:rPr>
        <w:t>制冷剂类型</w:t>
      </w:r>
    </w:p>
    <w:p>
      <w:pPr>
        <w:ind w:firstLine="420" w:firstLineChars="200"/>
      </w:pPr>
      <w:r>
        <w:rPr>
          <w:rFonts w:hint="eastAsia" w:ascii="宋体" w:eastAsia="宋体" w:cstheme="minorBidi"/>
          <w:kern w:val="2"/>
          <w:szCs w:val="22"/>
          <w:lang w:eastAsia="zh-CN"/>
        </w:rPr>
        <w:t>商用冷柜</w:t>
      </w:r>
      <w:r>
        <w:rPr>
          <w:rFonts w:hint="eastAsia"/>
        </w:rPr>
        <w:t>应采用ODP值为0且GWP值不大于100的制冷剂，且充注量</w:t>
      </w:r>
      <w:r>
        <w:rPr>
          <w:rFonts w:hint="eastAsia"/>
          <w:lang w:eastAsia="zh-CN"/>
        </w:rPr>
        <w:t>应</w:t>
      </w:r>
      <w:r>
        <w:rPr>
          <w:rFonts w:hint="eastAsia"/>
        </w:rPr>
        <w:t>符合GB 4706.102</w:t>
      </w:r>
      <w:r>
        <w:rPr>
          <w:rFonts w:hint="eastAsia"/>
          <w:lang w:eastAsia="zh-CN"/>
        </w:rPr>
        <w:t>的相关要求</w:t>
      </w:r>
      <w:r>
        <w:rPr>
          <w:rFonts w:hint="eastAsia"/>
        </w:rPr>
        <w:t>。</w:t>
      </w:r>
    </w:p>
    <w:p>
      <w:pPr>
        <w:pStyle w:val="119"/>
        <w:spacing w:before="156" w:after="156"/>
        <w:rPr>
          <w:rFonts w:hAnsi="黑体" w:cs="黑体"/>
          <w:kern w:val="2"/>
          <w:szCs w:val="22"/>
        </w:rPr>
      </w:pPr>
      <w:r>
        <w:rPr>
          <w:rFonts w:hint="eastAsia" w:hAnsi="黑体" w:cs="黑体"/>
          <w:kern w:val="2"/>
          <w:szCs w:val="22"/>
        </w:rPr>
        <w:t>抗菌</w:t>
      </w:r>
    </w:p>
    <w:p>
      <w:pPr>
        <w:ind w:firstLine="420" w:firstLineChars="200"/>
      </w:pPr>
      <w:r>
        <w:rPr>
          <w:rFonts w:hint="eastAsia"/>
        </w:rPr>
        <w:t>按5.17的方法进行试验，具有抗菌功能的</w:t>
      </w:r>
      <w:r>
        <w:rPr>
          <w:rFonts w:hint="eastAsia" w:ascii="宋体" w:eastAsia="宋体" w:cstheme="minorBidi"/>
          <w:kern w:val="2"/>
          <w:szCs w:val="22"/>
          <w:lang w:eastAsia="zh-CN"/>
        </w:rPr>
        <w:t>商用冷柜</w:t>
      </w:r>
      <w:r>
        <w:rPr>
          <w:rFonts w:hint="eastAsia"/>
        </w:rPr>
        <w:t>或其应用抗菌材料生产的主要部件，对金黄色葡萄球菌、大肠杆菌的抗菌率不应小于97%。</w:t>
      </w:r>
    </w:p>
    <w:p>
      <w:pPr>
        <w:pStyle w:val="119"/>
        <w:spacing w:before="156" w:after="156"/>
        <w:rPr>
          <w:rFonts w:hAnsi="黑体" w:cs="黑体"/>
          <w:kern w:val="2"/>
          <w:szCs w:val="22"/>
        </w:rPr>
      </w:pPr>
      <w:r>
        <w:rPr>
          <w:rFonts w:hint="eastAsia" w:hAnsi="黑体" w:cs="黑体"/>
          <w:kern w:val="2"/>
          <w:szCs w:val="22"/>
        </w:rPr>
        <w:t>智能化功能</w:t>
      </w:r>
    </w:p>
    <w:p>
      <w:pPr>
        <w:ind w:firstLine="420" w:firstLineChars="200"/>
      </w:pPr>
      <w:r>
        <w:rPr>
          <w:rFonts w:hint="eastAsia"/>
          <w:lang w:eastAsia="zh-CN"/>
        </w:rPr>
        <w:t>带智能功能的</w:t>
      </w:r>
      <w:r>
        <w:rPr>
          <w:rFonts w:hint="eastAsia"/>
        </w:rPr>
        <w:t>商用冷柜采用至少三种智能化功能，包括智能定位功能、柜内温度远程监控功能和温控器远程操控功能，具体如下：</w:t>
      </w:r>
    </w:p>
    <w:p>
      <w:pPr>
        <w:pStyle w:val="246"/>
        <w:numPr>
          <w:ilvl w:val="0"/>
          <w:numId w:val="23"/>
        </w:numPr>
        <w:tabs>
          <w:tab w:val="clear" w:pos="840"/>
        </w:tabs>
      </w:pPr>
      <w:r>
        <w:rPr>
          <w:rFonts w:hint="eastAsia"/>
        </w:rPr>
        <w:t>智能定位功能：利用WIFI，GPRS等设备或模块实现冷柜定位功能；</w:t>
      </w:r>
    </w:p>
    <w:p>
      <w:pPr>
        <w:pStyle w:val="246"/>
        <w:numPr>
          <w:ilvl w:val="0"/>
          <w:numId w:val="23"/>
        </w:numPr>
        <w:tabs>
          <w:tab w:val="clear" w:pos="840"/>
        </w:tabs>
      </w:pPr>
      <w:r>
        <w:rPr>
          <w:rFonts w:hint="eastAsia"/>
        </w:rPr>
        <w:t>柜内温度远程监控功能：通过远程技术，能够实现将冷柜内温度采集并发送至上位机，实现远程监控箱内温度；</w:t>
      </w:r>
    </w:p>
    <w:p>
      <w:pPr>
        <w:pStyle w:val="246"/>
        <w:numPr>
          <w:ilvl w:val="0"/>
          <w:numId w:val="23"/>
        </w:numPr>
        <w:tabs>
          <w:tab w:val="clear" w:pos="840"/>
        </w:tabs>
        <w:rPr>
          <w:rFonts w:cstheme="minorBidi"/>
          <w:kern w:val="2"/>
          <w:szCs w:val="22"/>
        </w:rPr>
      </w:pPr>
      <w:r>
        <w:rPr>
          <w:rFonts w:hint="eastAsia"/>
        </w:rPr>
        <w:t>远程</w:t>
      </w:r>
      <w:r>
        <w:rPr>
          <w:rFonts w:hint="eastAsia" w:cstheme="minorBidi"/>
          <w:kern w:val="2"/>
          <w:szCs w:val="22"/>
        </w:rPr>
        <w:t>操控温控器功能：通过远程控制技术，实现温控器控制功能。</w:t>
      </w:r>
    </w:p>
    <w:p>
      <w:pPr>
        <w:pStyle w:val="119"/>
        <w:spacing w:before="156" w:after="156"/>
        <w:rPr>
          <w:rFonts w:hAnsi="黑体" w:cs="黑体"/>
          <w:kern w:val="2"/>
          <w:szCs w:val="22"/>
        </w:rPr>
      </w:pPr>
      <w:r>
        <w:rPr>
          <w:rFonts w:hint="eastAsia" w:hAnsi="黑体" w:cs="黑体"/>
          <w:kern w:val="2"/>
          <w:szCs w:val="22"/>
        </w:rPr>
        <w:t>外观</w:t>
      </w:r>
    </w:p>
    <w:p>
      <w:pPr>
        <w:pStyle w:val="131"/>
        <w:widowControl w:val="0"/>
        <w:rPr>
          <w:w w:val="105"/>
        </w:rPr>
      </w:pPr>
      <w:r>
        <w:rPr>
          <w:rFonts w:hint="eastAsia"/>
          <w:w w:val="105"/>
        </w:rPr>
        <w:t>外观不应有明显的缺陷，装饰性表面应平整光亮。</w:t>
      </w:r>
    </w:p>
    <w:p>
      <w:pPr>
        <w:pStyle w:val="131"/>
        <w:widowControl w:val="0"/>
        <w:rPr>
          <w:w w:val="105"/>
        </w:rPr>
      </w:pPr>
      <w:r>
        <w:rPr>
          <w:rFonts w:hint="eastAsia"/>
          <w:w w:val="105"/>
        </w:rPr>
        <w:t>涂层表面应平整光亮、颜色均匀，不应有流疤、划痕、麻坑、皱纹、起泡、涂和沙粒等缺陷。</w:t>
      </w:r>
    </w:p>
    <w:p>
      <w:pPr>
        <w:pStyle w:val="131"/>
        <w:widowControl w:val="0"/>
        <w:rPr>
          <w:w w:val="105"/>
        </w:rPr>
      </w:pPr>
      <w:r>
        <w:rPr>
          <w:rFonts w:hint="eastAsia"/>
          <w:w w:val="105"/>
        </w:rPr>
        <w:t>电镀件的装饰镀层应光滑细密、色泽均匀，不应有斑点、针孔、气泡和镀层剥落等缺陷。</w:t>
      </w:r>
    </w:p>
    <w:p>
      <w:pPr>
        <w:pStyle w:val="131"/>
        <w:widowControl w:val="0"/>
        <w:rPr>
          <w:w w:val="105"/>
        </w:rPr>
      </w:pPr>
      <w:r>
        <w:rPr>
          <w:rFonts w:hint="eastAsia"/>
          <w:w w:val="105"/>
        </w:rPr>
        <w:t>塑料件表面应平整光滑、色泽均匀，不应有裂痕、气泡、明显缩孔和变形等缺陷。</w:t>
      </w:r>
    </w:p>
    <w:p>
      <w:pPr>
        <w:pStyle w:val="131"/>
        <w:widowControl w:val="0"/>
        <w:rPr>
          <w:rFonts w:hAnsi="Times New Roman"/>
        </w:rPr>
      </w:pPr>
      <w:r>
        <w:rPr>
          <w:rFonts w:hint="eastAsia"/>
          <w:w w:val="105"/>
        </w:rPr>
        <w:t>产品标志应清晰、耐</w:t>
      </w:r>
      <w:r>
        <w:rPr>
          <w:rFonts w:hint="eastAsia"/>
          <w:w w:val="105"/>
          <w:lang w:eastAsia="zh-CN"/>
        </w:rPr>
        <w:t>久</w:t>
      </w:r>
      <w:r>
        <w:rPr>
          <w:rFonts w:hint="eastAsia"/>
          <w:w w:val="105"/>
        </w:rPr>
        <w:t>、正确。</w:t>
      </w:r>
    </w:p>
    <w:p>
      <w:pPr>
        <w:pStyle w:val="117"/>
        <w:spacing w:before="312" w:after="312"/>
        <w:rPr>
          <w:szCs w:val="21"/>
        </w:rPr>
      </w:pPr>
      <w:r>
        <w:rPr>
          <w:rFonts w:hint="eastAsia"/>
          <w:szCs w:val="21"/>
        </w:rPr>
        <w:t>试验方法</w:t>
      </w:r>
    </w:p>
    <w:p>
      <w:pPr>
        <w:pStyle w:val="119"/>
        <w:spacing w:before="156" w:after="156"/>
        <w:rPr>
          <w:rFonts w:hAnsi="黑体"/>
          <w:szCs w:val="21"/>
        </w:rPr>
      </w:pPr>
      <w:r>
        <w:rPr>
          <w:szCs w:val="21"/>
        </w:rPr>
        <w:t>试验条件</w:t>
      </w:r>
    </w:p>
    <w:p>
      <w:pPr>
        <w:pStyle w:val="131"/>
        <w:widowControl w:val="0"/>
        <w:rPr>
          <w:w w:val="105"/>
        </w:rPr>
      </w:pPr>
      <w:r>
        <w:rPr>
          <w:rFonts w:hint="eastAsia" w:ascii="宋体" w:eastAsia="宋体" w:cstheme="minorBidi"/>
          <w:kern w:val="2"/>
          <w:szCs w:val="22"/>
          <w:lang w:eastAsia="zh-CN"/>
        </w:rPr>
        <w:t>商用冷柜</w:t>
      </w:r>
      <w:r>
        <w:rPr>
          <w:rFonts w:hint="eastAsia"/>
          <w:w w:val="105"/>
        </w:rPr>
        <w:t>应在与其气候类型相同的标准气候的试验室内进行测试。</w:t>
      </w:r>
    </w:p>
    <w:p>
      <w:pPr>
        <w:pStyle w:val="131"/>
        <w:widowControl w:val="0"/>
        <w:rPr>
          <w:w w:val="105"/>
        </w:rPr>
      </w:pPr>
      <w:r>
        <w:rPr>
          <w:rFonts w:hint="eastAsia"/>
          <w:w w:val="105"/>
        </w:rPr>
        <w:t>试验室标准气候类型与产品使用环境条件的气候类型相同，其环境温度、湿度见表1。试验室温度的波动范围为±0.5℃。</w:t>
      </w:r>
    </w:p>
    <w:p>
      <w:pPr>
        <w:pStyle w:val="131"/>
        <w:widowControl w:val="0"/>
        <w:rPr>
          <w:rFonts w:hAnsi="Times New Roman"/>
        </w:rPr>
      </w:pPr>
      <w:r>
        <w:rPr>
          <w:rFonts w:hint="eastAsia"/>
          <w:w w:val="105"/>
        </w:rPr>
        <w:t>试</w:t>
      </w:r>
      <w:r>
        <w:rPr>
          <w:rFonts w:hint="eastAsia" w:hAnsi="Times New Roman"/>
        </w:rPr>
        <w:t>验室湿度的波动范围为±3％。</w:t>
      </w:r>
    </w:p>
    <w:p>
      <w:pPr>
        <w:pStyle w:val="119"/>
        <w:spacing w:before="156" w:after="156"/>
        <w:rPr>
          <w:szCs w:val="21"/>
        </w:rPr>
      </w:pPr>
      <w:r>
        <w:rPr>
          <w:rFonts w:hint="eastAsia" w:hAnsi="黑体"/>
          <w:szCs w:val="21"/>
        </w:rPr>
        <w:t>总</w:t>
      </w:r>
      <w:r>
        <w:rPr>
          <w:spacing w:val="-3"/>
          <w:w w:val="105"/>
          <w:szCs w:val="21"/>
        </w:rPr>
        <w:t>有效容积</w:t>
      </w:r>
    </w:p>
    <w:p>
      <w:pPr>
        <w:ind w:firstLine="420" w:firstLineChars="200"/>
      </w:pPr>
      <w:r>
        <w:rPr>
          <w:rFonts w:hint="eastAsia"/>
        </w:rPr>
        <w:t>各间室有效容积及总有效容积按SB/T 10794.2—2012附录A方法进行试验。</w:t>
      </w:r>
    </w:p>
    <w:p>
      <w:pPr>
        <w:pStyle w:val="119"/>
        <w:spacing w:before="156" w:after="156"/>
        <w:rPr>
          <w:rFonts w:hAnsi="黑体"/>
          <w:szCs w:val="21"/>
        </w:rPr>
      </w:pPr>
      <w:r>
        <w:rPr>
          <w:rFonts w:hint="eastAsia" w:hAnsi="黑体"/>
          <w:szCs w:val="21"/>
        </w:rPr>
        <w:t>温度</w:t>
      </w:r>
    </w:p>
    <w:p>
      <w:pPr>
        <w:ind w:firstLine="420" w:firstLineChars="200"/>
      </w:pPr>
      <w:r>
        <w:rPr>
          <w:rFonts w:hint="eastAsia"/>
        </w:rPr>
        <w:t>按SB/T 10794.2—2012中4.2的方法进行试验。</w:t>
      </w:r>
    </w:p>
    <w:p>
      <w:pPr>
        <w:pStyle w:val="119"/>
        <w:spacing w:before="156" w:after="156"/>
        <w:rPr>
          <w:rFonts w:hAnsi="黑体"/>
          <w:szCs w:val="21"/>
        </w:rPr>
      </w:pPr>
      <w:r>
        <w:rPr>
          <w:rFonts w:hint="eastAsia" w:hAnsi="黑体"/>
          <w:szCs w:val="21"/>
        </w:rPr>
        <w:t>启动</w:t>
      </w:r>
      <w:r>
        <w:rPr>
          <w:rFonts w:hAnsi="黑体"/>
          <w:szCs w:val="21"/>
        </w:rPr>
        <w:t>性能</w:t>
      </w:r>
    </w:p>
    <w:p>
      <w:pPr>
        <w:ind w:firstLine="420" w:firstLineChars="200"/>
      </w:pPr>
      <w:r>
        <w:rPr>
          <w:rFonts w:hint="eastAsia"/>
        </w:rPr>
        <w:t>按SB/T 10794.2—2012中5.3.18的方法进行试验。</w:t>
      </w:r>
    </w:p>
    <w:p>
      <w:pPr>
        <w:pStyle w:val="119"/>
        <w:spacing w:before="156" w:after="156"/>
        <w:rPr>
          <w:rFonts w:hAnsi="黑体"/>
          <w:szCs w:val="21"/>
        </w:rPr>
      </w:pPr>
      <w:r>
        <w:rPr>
          <w:rFonts w:hAnsi="黑体"/>
          <w:w w:val="105"/>
          <w:szCs w:val="21"/>
        </w:rPr>
        <w:t>耐电压波动性能</w:t>
      </w:r>
    </w:p>
    <w:p>
      <w:pPr>
        <w:ind w:firstLine="420" w:firstLineChars="200"/>
      </w:pPr>
      <w:r>
        <w:rPr>
          <w:rFonts w:hint="eastAsia"/>
        </w:rPr>
        <w:t>按SB/T 10794.2—2012中5.3.17的方法进行试验。</w:t>
      </w:r>
    </w:p>
    <w:p>
      <w:pPr>
        <w:pStyle w:val="119"/>
        <w:spacing w:before="156" w:after="156"/>
        <w:rPr>
          <w:rFonts w:hAnsi="黑体"/>
          <w:szCs w:val="21"/>
        </w:rPr>
      </w:pPr>
      <w:r>
        <w:rPr>
          <w:rFonts w:hAnsi="黑体"/>
          <w:szCs w:val="21"/>
        </w:rPr>
        <w:t>耗</w:t>
      </w:r>
      <w:r>
        <w:rPr>
          <w:rFonts w:hint="eastAsia" w:hAnsi="黑体"/>
          <w:szCs w:val="21"/>
          <w:lang w:val="en-US" w:eastAsia="zh-CN"/>
        </w:rPr>
        <w:t>电量</w:t>
      </w:r>
      <w:r>
        <w:rPr>
          <w:rFonts w:hAnsi="黑体"/>
          <w:szCs w:val="21"/>
        </w:rPr>
        <w:t>、能效指数</w:t>
      </w:r>
    </w:p>
    <w:p>
      <w:pPr>
        <w:ind w:firstLine="420" w:firstLineChars="200"/>
      </w:pPr>
      <w:r>
        <w:rPr>
          <w:rFonts w:hint="eastAsia"/>
        </w:rPr>
        <w:t>总能量消耗、总能量消耗限定值、能效指数及能效等级按GB 26920.2的方法进行</w:t>
      </w:r>
      <w:r>
        <w:rPr>
          <w:rFonts w:hint="eastAsia"/>
          <w:lang w:val="en-US" w:eastAsia="zh-CN"/>
        </w:rPr>
        <w:t>试验</w:t>
      </w:r>
      <w:r>
        <w:rPr>
          <w:rFonts w:hint="eastAsia"/>
        </w:rPr>
        <w:t>。</w:t>
      </w:r>
    </w:p>
    <w:p>
      <w:pPr>
        <w:pStyle w:val="119"/>
        <w:spacing w:before="156" w:after="156"/>
        <w:rPr>
          <w:rFonts w:hAnsi="黑体"/>
          <w:szCs w:val="21"/>
        </w:rPr>
      </w:pPr>
      <w:r>
        <w:rPr>
          <w:rFonts w:hAnsi="黑体"/>
          <w:szCs w:val="21"/>
        </w:rPr>
        <w:t>噪声</w:t>
      </w:r>
    </w:p>
    <w:p>
      <w:pPr>
        <w:ind w:firstLine="420" w:firstLineChars="200"/>
      </w:pPr>
      <w:r>
        <w:rPr>
          <w:rFonts w:hint="eastAsia"/>
        </w:rPr>
        <w:t>按SB/T 10794.2—2012中 5.3.16的方法进行试验。</w:t>
      </w:r>
    </w:p>
    <w:p>
      <w:pPr>
        <w:pStyle w:val="119"/>
        <w:spacing w:before="156" w:after="156"/>
        <w:rPr>
          <w:rFonts w:hAnsi="黑体"/>
          <w:color w:val="auto"/>
          <w:szCs w:val="21"/>
        </w:rPr>
      </w:pPr>
      <w:r>
        <w:rPr>
          <w:rFonts w:hint="eastAsia" w:hAnsi="黑体"/>
          <w:color w:val="auto"/>
          <w:w w:val="105"/>
          <w:szCs w:val="21"/>
        </w:rPr>
        <w:t>水蒸气凝结</w:t>
      </w:r>
    </w:p>
    <w:p>
      <w:pPr>
        <w:ind w:firstLine="420" w:firstLineChars="200"/>
        <w:rPr>
          <w:color w:val="auto"/>
        </w:rPr>
      </w:pPr>
      <w:r>
        <w:rPr>
          <w:rFonts w:hint="eastAsia"/>
          <w:color w:val="auto"/>
        </w:rPr>
        <w:t>按GB/T 21001.2—2015中5.3.4的方法进行试验。</w:t>
      </w:r>
    </w:p>
    <w:p>
      <w:pPr>
        <w:pStyle w:val="119"/>
        <w:spacing w:before="156" w:after="156"/>
        <w:rPr>
          <w:rFonts w:hAnsi="黑体"/>
          <w:color w:val="auto"/>
          <w:w w:val="105"/>
          <w:szCs w:val="21"/>
        </w:rPr>
      </w:pPr>
      <w:r>
        <w:rPr>
          <w:rFonts w:hAnsi="黑体"/>
          <w:color w:val="auto"/>
          <w:w w:val="105"/>
          <w:szCs w:val="21"/>
        </w:rPr>
        <w:t>门</w:t>
      </w:r>
      <w:r>
        <w:rPr>
          <w:rFonts w:hint="eastAsia" w:hAnsi="黑体"/>
          <w:color w:val="auto"/>
          <w:w w:val="105"/>
          <w:szCs w:val="21"/>
        </w:rPr>
        <w:t>和</w:t>
      </w:r>
      <w:r>
        <w:rPr>
          <w:rFonts w:hAnsi="黑体"/>
          <w:color w:val="auto"/>
          <w:w w:val="105"/>
          <w:szCs w:val="21"/>
        </w:rPr>
        <w:t>盖的密封试验</w:t>
      </w:r>
    </w:p>
    <w:p>
      <w:pPr>
        <w:ind w:firstLine="420" w:firstLineChars="200"/>
        <w:rPr>
          <w:color w:val="auto"/>
        </w:rPr>
      </w:pPr>
      <w:r>
        <w:rPr>
          <w:rFonts w:hint="eastAsia"/>
          <w:color w:val="auto"/>
        </w:rPr>
        <w:t>按GB/T 21001.2—2015中5.2.1的方法进行试验。</w:t>
      </w:r>
    </w:p>
    <w:p>
      <w:pPr>
        <w:pStyle w:val="119"/>
        <w:spacing w:before="156" w:after="156"/>
        <w:rPr>
          <w:rFonts w:hAnsi="黑体"/>
          <w:color w:val="auto"/>
          <w:w w:val="105"/>
          <w:szCs w:val="21"/>
        </w:rPr>
      </w:pPr>
      <w:r>
        <w:rPr>
          <w:rFonts w:hAnsi="黑体"/>
          <w:color w:val="auto"/>
          <w:w w:val="105"/>
          <w:szCs w:val="21"/>
        </w:rPr>
        <w:t>制冷系统密封性能</w:t>
      </w:r>
    </w:p>
    <w:p>
      <w:pPr>
        <w:ind w:firstLine="420" w:firstLineChars="200"/>
        <w:rPr>
          <w:color w:val="auto"/>
        </w:rPr>
      </w:pPr>
      <w:r>
        <w:rPr>
          <w:rFonts w:hint="eastAsia"/>
          <w:color w:val="auto"/>
        </w:rPr>
        <w:t>按 SB/T 10794.2—2012中 5.3.11的方法试验进行</w:t>
      </w:r>
      <w:r>
        <w:rPr>
          <w:rFonts w:hint="eastAsia"/>
          <w:color w:val="auto"/>
          <w:lang w:eastAsia="zh-CN"/>
        </w:rPr>
        <w:t>试验</w:t>
      </w:r>
      <w:r>
        <w:rPr>
          <w:rFonts w:hint="eastAsia"/>
          <w:color w:val="auto"/>
        </w:rPr>
        <w:t>。</w:t>
      </w:r>
    </w:p>
    <w:p>
      <w:pPr>
        <w:pStyle w:val="119"/>
        <w:spacing w:before="156" w:after="156"/>
        <w:rPr>
          <w:color w:val="auto"/>
        </w:rPr>
      </w:pPr>
      <w:r>
        <w:rPr>
          <w:rFonts w:hint="eastAsia"/>
          <w:color w:val="auto"/>
        </w:rPr>
        <w:t>振动</w:t>
      </w:r>
    </w:p>
    <w:p>
      <w:pPr>
        <w:rPr>
          <w:color w:val="auto"/>
        </w:rPr>
      </w:pPr>
      <w:r>
        <w:rPr>
          <w:rFonts w:hint="eastAsia"/>
          <w:color w:val="auto"/>
        </w:rPr>
        <w:t xml:space="preserve">   按SB/T 10794.2—2012中 5.3.15的方法进行试验。</w:t>
      </w:r>
    </w:p>
    <w:p>
      <w:pPr>
        <w:pStyle w:val="119"/>
        <w:spacing w:before="156" w:after="156"/>
        <w:rPr>
          <w:rFonts w:hAnsi="黑体"/>
          <w:w w:val="105"/>
          <w:szCs w:val="21"/>
        </w:rPr>
      </w:pPr>
      <w:r>
        <w:rPr>
          <w:rFonts w:hAnsi="黑体"/>
          <w:w w:val="105"/>
          <w:szCs w:val="21"/>
        </w:rPr>
        <w:t>安全性能</w:t>
      </w:r>
    </w:p>
    <w:p>
      <w:pPr>
        <w:ind w:firstLine="420" w:firstLineChars="200"/>
      </w:pPr>
      <w:r>
        <w:rPr>
          <w:rFonts w:hint="eastAsia"/>
        </w:rPr>
        <w:t>按GB 4706.1和GB 4706.102的方法进行试验。</w:t>
      </w:r>
    </w:p>
    <w:p>
      <w:pPr>
        <w:pStyle w:val="237"/>
        <w:spacing w:before="156" w:beforeLines="50" w:after="156" w:afterLines="50" w:line="380" w:lineRule="exact"/>
        <w:ind w:firstLine="0" w:firstLineChars="0"/>
        <w:rPr>
          <w:rFonts w:ascii="黑体" w:hAnsi="黑体" w:eastAsia="黑体"/>
          <w:w w:val="105"/>
          <w:szCs w:val="21"/>
        </w:rPr>
      </w:pPr>
      <w:r>
        <w:rPr>
          <w:rFonts w:hint="eastAsia" w:ascii="黑体" w:hAnsi="黑体" w:eastAsia="黑体"/>
          <w:w w:val="105"/>
          <w:szCs w:val="21"/>
        </w:rPr>
        <w:t>5.13  电磁兼容</w:t>
      </w:r>
    </w:p>
    <w:p>
      <w:pPr>
        <w:ind w:firstLine="420" w:firstLineChars="200"/>
      </w:pPr>
      <w:r>
        <w:rPr>
          <w:rFonts w:hint="eastAsia"/>
        </w:rPr>
        <w:t>按GB 17625.1和GB 4343.1</w:t>
      </w:r>
      <w:r>
        <w:rPr>
          <w:rFonts w:hint="eastAsia"/>
          <w:lang w:eastAsia="zh-CN"/>
        </w:rPr>
        <w:t>的</w:t>
      </w:r>
      <w:r>
        <w:rPr>
          <w:rFonts w:hint="eastAsia"/>
        </w:rPr>
        <w:t>方法进行试验。</w:t>
      </w:r>
    </w:p>
    <w:p>
      <w:pPr>
        <w:pStyle w:val="119"/>
        <w:numPr>
          <w:ilvl w:val="1"/>
          <w:numId w:val="24"/>
        </w:numPr>
        <w:spacing w:before="156" w:after="156"/>
        <w:ind w:left="-4" w:leftChars="-2"/>
        <w:rPr>
          <w:rFonts w:hAnsi="黑体"/>
          <w:w w:val="105"/>
          <w:szCs w:val="21"/>
        </w:rPr>
      </w:pPr>
      <w:r>
        <w:rPr>
          <w:rFonts w:hint="eastAsia" w:hAnsi="黑体"/>
          <w:w w:val="105"/>
          <w:szCs w:val="21"/>
        </w:rPr>
        <w:t>限用物质</w:t>
      </w:r>
    </w:p>
    <w:p>
      <w:pPr>
        <w:pStyle w:val="237"/>
        <w:rPr>
          <w:rFonts w:cstheme="minorBidi"/>
          <w:kern w:val="2"/>
          <w:szCs w:val="22"/>
        </w:rPr>
      </w:pPr>
      <w:r>
        <w:rPr>
          <w:rFonts w:hint="eastAsia" w:cstheme="minorBidi"/>
          <w:kern w:val="2"/>
          <w:szCs w:val="22"/>
        </w:rPr>
        <w:t>按GB/T 26572和GB/T 26125</w:t>
      </w:r>
      <w:r>
        <w:rPr>
          <w:rFonts w:hint="eastAsia" w:cstheme="minorBidi"/>
          <w:kern w:val="2"/>
          <w:szCs w:val="22"/>
          <w:lang w:eastAsia="zh-CN"/>
        </w:rPr>
        <w:t>的</w:t>
      </w:r>
      <w:r>
        <w:rPr>
          <w:rFonts w:hint="eastAsia"/>
        </w:rPr>
        <w:t>方法</w:t>
      </w:r>
      <w:r>
        <w:rPr>
          <w:rFonts w:hint="eastAsia" w:cstheme="minorBidi"/>
          <w:kern w:val="2"/>
          <w:szCs w:val="22"/>
        </w:rPr>
        <w:t>进行</w:t>
      </w:r>
      <w:r>
        <w:rPr>
          <w:rFonts w:hint="eastAsia"/>
        </w:rPr>
        <w:t>试验</w:t>
      </w:r>
      <w:r>
        <w:rPr>
          <w:rFonts w:hint="eastAsia" w:cstheme="minorBidi"/>
          <w:kern w:val="2"/>
          <w:szCs w:val="22"/>
        </w:rPr>
        <w:t>。</w:t>
      </w:r>
    </w:p>
    <w:p>
      <w:pPr>
        <w:pStyle w:val="119"/>
        <w:spacing w:before="156" w:after="156"/>
        <w:rPr>
          <w:rFonts w:hAnsi="黑体"/>
          <w:w w:val="105"/>
          <w:szCs w:val="21"/>
        </w:rPr>
      </w:pPr>
      <w:r>
        <w:rPr>
          <w:rFonts w:hint="eastAsia" w:hAnsi="黑体"/>
          <w:w w:val="105"/>
          <w:szCs w:val="21"/>
        </w:rPr>
        <w:t>食品接触材料安全</w:t>
      </w:r>
    </w:p>
    <w:p>
      <w:pPr>
        <w:pStyle w:val="237"/>
        <w:rPr>
          <w:rFonts w:cstheme="minorBidi"/>
          <w:kern w:val="2"/>
          <w:szCs w:val="22"/>
        </w:rPr>
      </w:pPr>
      <w:r>
        <w:rPr>
          <w:rFonts w:hint="eastAsia" w:cstheme="minorBidi"/>
          <w:kern w:val="2"/>
          <w:szCs w:val="22"/>
        </w:rPr>
        <w:t>按GB 4806.1和表</w:t>
      </w:r>
      <w:r>
        <w:rPr>
          <w:rFonts w:hint="eastAsia" w:cstheme="minorBidi"/>
          <w:kern w:val="2"/>
          <w:szCs w:val="22"/>
          <w:lang w:val="en-US" w:eastAsia="zh-CN"/>
        </w:rPr>
        <w:t>3</w:t>
      </w:r>
      <w:r>
        <w:rPr>
          <w:rFonts w:hint="eastAsia" w:cstheme="minorBidi"/>
          <w:kern w:val="2"/>
          <w:szCs w:val="22"/>
        </w:rPr>
        <w:t>的</w:t>
      </w:r>
      <w:r>
        <w:rPr>
          <w:rFonts w:hint="eastAsia"/>
        </w:rPr>
        <w:t>方法</w:t>
      </w:r>
      <w:r>
        <w:rPr>
          <w:rFonts w:hint="eastAsia" w:cstheme="minorBidi"/>
          <w:kern w:val="2"/>
          <w:szCs w:val="22"/>
        </w:rPr>
        <w:t>进行</w:t>
      </w:r>
      <w:r>
        <w:rPr>
          <w:rFonts w:hint="eastAsia"/>
        </w:rPr>
        <w:t>试验</w:t>
      </w:r>
      <w:r>
        <w:rPr>
          <w:rFonts w:hint="eastAsia" w:cstheme="minorBidi"/>
          <w:kern w:val="2"/>
          <w:szCs w:val="22"/>
        </w:rPr>
        <w:t>。</w:t>
      </w:r>
    </w:p>
    <w:p>
      <w:pPr>
        <w:pStyle w:val="119"/>
        <w:spacing w:before="156" w:after="156"/>
        <w:rPr>
          <w:rFonts w:hAnsi="黑体"/>
          <w:w w:val="105"/>
          <w:szCs w:val="21"/>
        </w:rPr>
      </w:pPr>
      <w:r>
        <w:rPr>
          <w:rFonts w:hint="eastAsia" w:hAnsi="黑体"/>
          <w:w w:val="105"/>
          <w:szCs w:val="21"/>
        </w:rPr>
        <w:t>制冷剂类型</w:t>
      </w:r>
    </w:p>
    <w:p>
      <w:pPr>
        <w:pStyle w:val="237"/>
        <w:rPr>
          <w:rFonts w:cstheme="minorBidi"/>
          <w:kern w:val="2"/>
          <w:szCs w:val="22"/>
        </w:rPr>
      </w:pPr>
      <w:r>
        <w:rPr>
          <w:rFonts w:hint="eastAsia" w:cstheme="minorBidi"/>
          <w:kern w:val="2"/>
          <w:szCs w:val="22"/>
        </w:rPr>
        <w:t>R290或者R600a环保制冷剂的类型</w:t>
      </w:r>
      <w:r>
        <w:rPr>
          <w:rFonts w:hint="eastAsia" w:cstheme="minorBidi"/>
          <w:kern w:val="2"/>
          <w:szCs w:val="22"/>
          <w:lang w:eastAsia="zh-CN"/>
        </w:rPr>
        <w:t>以</w:t>
      </w:r>
      <w:r>
        <w:rPr>
          <w:rFonts w:hint="eastAsia" w:cstheme="minorBidi"/>
          <w:kern w:val="2"/>
          <w:szCs w:val="22"/>
        </w:rPr>
        <w:t>检查铭牌参数</w:t>
      </w:r>
      <w:r>
        <w:rPr>
          <w:rFonts w:hint="eastAsia" w:cstheme="minorBidi"/>
          <w:kern w:val="2"/>
          <w:szCs w:val="22"/>
          <w:lang w:eastAsia="zh-CN"/>
        </w:rPr>
        <w:t>或技术文件进行检查验证</w:t>
      </w:r>
      <w:r>
        <w:rPr>
          <w:rFonts w:hint="eastAsia" w:cstheme="minorBidi"/>
          <w:kern w:val="2"/>
          <w:szCs w:val="22"/>
        </w:rPr>
        <w:t>。</w:t>
      </w:r>
    </w:p>
    <w:p>
      <w:pPr>
        <w:pStyle w:val="119"/>
        <w:spacing w:before="156" w:after="156"/>
        <w:rPr>
          <w:rFonts w:hAnsi="黑体" w:cs="黑体"/>
          <w:kern w:val="2"/>
          <w:szCs w:val="22"/>
        </w:rPr>
      </w:pPr>
      <w:r>
        <w:rPr>
          <w:rFonts w:hint="eastAsia" w:hAnsi="黑体" w:cs="黑体"/>
          <w:kern w:val="2"/>
          <w:szCs w:val="22"/>
        </w:rPr>
        <w:t>抗菌</w:t>
      </w:r>
    </w:p>
    <w:p>
      <w:pPr>
        <w:ind w:firstLine="420" w:firstLineChars="200"/>
      </w:pPr>
      <w:r>
        <w:rPr>
          <w:rFonts w:hint="eastAsia"/>
        </w:rPr>
        <w:t>按GB 21551.1、GB 21551.2和GB 21551.4的方法进行试验。</w:t>
      </w:r>
    </w:p>
    <w:p>
      <w:pPr>
        <w:pStyle w:val="119"/>
        <w:spacing w:before="156" w:after="156"/>
        <w:rPr>
          <w:rFonts w:hAnsi="黑体" w:cs="黑体"/>
          <w:kern w:val="2"/>
          <w:szCs w:val="22"/>
        </w:rPr>
      </w:pPr>
      <w:r>
        <w:rPr>
          <w:rFonts w:hint="eastAsia" w:hAnsi="黑体" w:cs="黑体"/>
          <w:kern w:val="2"/>
          <w:szCs w:val="22"/>
        </w:rPr>
        <w:t>智能化功能</w:t>
      </w:r>
    </w:p>
    <w:p>
      <w:pPr>
        <w:ind w:firstLine="420" w:firstLineChars="200"/>
      </w:pPr>
      <w:r>
        <w:rPr>
          <w:rFonts w:hint="eastAsia"/>
        </w:rPr>
        <w:t>采用功能验证的方法进行检查。</w:t>
      </w:r>
    </w:p>
    <w:p>
      <w:pPr>
        <w:pStyle w:val="119"/>
        <w:spacing w:before="156" w:after="156"/>
        <w:rPr>
          <w:rFonts w:hAnsi="黑体" w:cs="黑体"/>
          <w:kern w:val="2"/>
          <w:szCs w:val="22"/>
        </w:rPr>
      </w:pPr>
      <w:r>
        <w:rPr>
          <w:rFonts w:hint="eastAsia" w:hAnsi="黑体" w:cs="黑体"/>
          <w:kern w:val="2"/>
          <w:szCs w:val="22"/>
        </w:rPr>
        <w:t>外观</w:t>
      </w:r>
    </w:p>
    <w:p>
      <w:pPr>
        <w:pStyle w:val="237"/>
        <w:rPr>
          <w:rFonts w:cstheme="minorBidi"/>
          <w:kern w:val="2"/>
          <w:szCs w:val="22"/>
        </w:rPr>
      </w:pPr>
      <w:r>
        <w:rPr>
          <w:rFonts w:hint="eastAsia" w:cstheme="minorBidi"/>
          <w:kern w:val="2"/>
          <w:szCs w:val="22"/>
        </w:rPr>
        <w:t>采用目测、手感方法进行检查。</w:t>
      </w:r>
    </w:p>
    <w:p>
      <w:pPr>
        <w:pStyle w:val="117"/>
        <w:spacing w:before="312" w:after="312"/>
      </w:pPr>
      <w:r>
        <w:rPr>
          <w:rFonts w:hint="eastAsia"/>
        </w:rPr>
        <w:t>检验规则</w:t>
      </w:r>
    </w:p>
    <w:p>
      <w:pPr>
        <w:pStyle w:val="119"/>
        <w:spacing w:before="156" w:after="156"/>
      </w:pPr>
      <w:r>
        <w:rPr>
          <w:rFonts w:hint="eastAsia"/>
        </w:rPr>
        <w:t>检验分类</w:t>
      </w:r>
    </w:p>
    <w:p>
      <w:pPr>
        <w:ind w:firstLine="420" w:firstLineChars="200"/>
      </w:pPr>
      <w:r>
        <w:rPr>
          <w:rFonts w:hint="eastAsia"/>
        </w:rPr>
        <w:t>分为出厂检验和型式检验。</w:t>
      </w:r>
    </w:p>
    <w:p>
      <w:pPr>
        <w:pStyle w:val="119"/>
        <w:spacing w:before="156" w:after="156"/>
      </w:pPr>
      <w:r>
        <w:rPr>
          <w:rFonts w:hint="eastAsia"/>
        </w:rPr>
        <w:t>出厂检验</w:t>
      </w:r>
    </w:p>
    <w:p>
      <w:pPr>
        <w:pStyle w:val="131"/>
        <w:widowControl w:val="0"/>
        <w:rPr>
          <w:spacing w:val="-3"/>
          <w:w w:val="105"/>
          <w:szCs w:val="21"/>
        </w:rPr>
      </w:pPr>
      <w:r>
        <w:rPr>
          <w:rFonts w:hint="eastAsia" w:ascii="宋体" w:eastAsia="宋体" w:cstheme="minorBidi"/>
          <w:kern w:val="2"/>
          <w:szCs w:val="22"/>
          <w:lang w:eastAsia="zh-CN"/>
        </w:rPr>
        <w:t>商用冷柜</w:t>
      </w:r>
      <w:r>
        <w:rPr>
          <w:spacing w:val="-3"/>
          <w:w w:val="105"/>
          <w:szCs w:val="21"/>
        </w:rPr>
        <w:t>应经制造厂质量检验部门检验合格后，并附有质量检验合格证、使用说明书、保修单及装箱清单后方可出厂。</w:t>
      </w:r>
    </w:p>
    <w:p>
      <w:pPr>
        <w:pStyle w:val="131"/>
        <w:widowControl w:val="0"/>
      </w:pPr>
      <w:r>
        <w:rPr>
          <w:rFonts w:hint="eastAsia"/>
        </w:rPr>
        <w:t>出厂检验项目及其不合格分类按表</w:t>
      </w:r>
      <w:r>
        <w:rPr>
          <w:rFonts w:hint="eastAsia"/>
          <w:lang w:val="en-US" w:eastAsia="zh-CN"/>
        </w:rPr>
        <w:t>4</w:t>
      </w:r>
      <w:r>
        <w:rPr>
          <w:rFonts w:hint="eastAsia"/>
        </w:rPr>
        <w:t>规定。</w:t>
      </w:r>
    </w:p>
    <w:p>
      <w:pPr>
        <w:pStyle w:val="208"/>
        <w:tabs>
          <w:tab w:val="left" w:pos="0"/>
        </w:tabs>
        <w:spacing w:before="156" w:after="156"/>
        <w:rPr>
          <w:w w:val="105"/>
        </w:rPr>
      </w:pPr>
      <w:r>
        <w:rPr>
          <w:rFonts w:hint="eastAsia"/>
          <w:w w:val="105"/>
        </w:rPr>
        <w:t>出厂检验</w:t>
      </w:r>
      <w:r>
        <w:rPr>
          <w:w w:val="105"/>
        </w:rPr>
        <w:t>项目</w:t>
      </w:r>
      <w:r>
        <w:rPr>
          <w:rFonts w:hint="eastAsia"/>
          <w:w w:val="105"/>
        </w:rPr>
        <w:t>及其</w:t>
      </w:r>
      <w:r>
        <w:rPr>
          <w:w w:val="105"/>
        </w:rPr>
        <w:t>不合格分类</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3300"/>
        <w:gridCol w:w="1605"/>
        <w:gridCol w:w="1440"/>
        <w:gridCol w:w="487"/>
        <w:gridCol w:w="443"/>
        <w:gridCol w:w="427"/>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restart"/>
            <w:tcBorders>
              <w:top w:val="single" w:color="auto" w:sz="12" w:space="0"/>
              <w:lef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序号</w:t>
            </w:r>
          </w:p>
        </w:tc>
        <w:tc>
          <w:tcPr>
            <w:tcW w:w="3300" w:type="dxa"/>
            <w:vMerge w:val="restart"/>
            <w:tcBorders>
              <w:top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检验项目</w:t>
            </w:r>
          </w:p>
        </w:tc>
        <w:tc>
          <w:tcPr>
            <w:tcW w:w="1605" w:type="dxa"/>
            <w:vMerge w:val="restart"/>
            <w:tcBorders>
              <w:top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要求</w:t>
            </w:r>
          </w:p>
        </w:tc>
        <w:tc>
          <w:tcPr>
            <w:tcW w:w="1440" w:type="dxa"/>
            <w:vMerge w:val="restart"/>
            <w:tcBorders>
              <w:top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试验方法</w:t>
            </w:r>
          </w:p>
        </w:tc>
        <w:tc>
          <w:tcPr>
            <w:tcW w:w="2349" w:type="dxa"/>
            <w:gridSpan w:val="4"/>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不合格分类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continue"/>
            <w:tcBorders>
              <w:left w:val="single" w:color="auto" w:sz="12" w:space="0"/>
              <w:bottom w:val="single" w:color="auto" w:sz="12" w:space="0"/>
            </w:tcBorders>
            <w:vAlign w:val="center"/>
          </w:tcPr>
          <w:p>
            <w:pPr>
              <w:numPr>
                <w:ilvl w:val="0"/>
                <w:numId w:val="2"/>
              </w:numPr>
              <w:tabs>
                <w:tab w:val="left" w:pos="850"/>
              </w:tabs>
              <w:jc w:val="center"/>
              <w:rPr>
                <w:rFonts w:hAnsi="宋体" w:cs="宋体"/>
                <w:szCs w:val="18"/>
              </w:rPr>
            </w:pPr>
          </w:p>
        </w:tc>
        <w:tc>
          <w:tcPr>
            <w:tcW w:w="3300" w:type="dxa"/>
            <w:vMerge w:val="continue"/>
            <w:tcBorders>
              <w:bottom w:val="single" w:color="auto" w:sz="12" w:space="0"/>
            </w:tcBorders>
            <w:vAlign w:val="center"/>
          </w:tcPr>
          <w:p>
            <w:pPr>
              <w:numPr>
                <w:ilvl w:val="0"/>
                <w:numId w:val="2"/>
              </w:numPr>
              <w:tabs>
                <w:tab w:val="left" w:pos="850"/>
              </w:tabs>
              <w:jc w:val="center"/>
              <w:rPr>
                <w:rFonts w:hAnsi="宋体" w:cs="宋体"/>
                <w:szCs w:val="18"/>
              </w:rPr>
            </w:pPr>
          </w:p>
        </w:tc>
        <w:tc>
          <w:tcPr>
            <w:tcW w:w="1605" w:type="dxa"/>
            <w:vMerge w:val="continue"/>
            <w:tcBorders>
              <w:bottom w:val="single" w:color="auto" w:sz="12" w:space="0"/>
            </w:tcBorders>
            <w:vAlign w:val="center"/>
          </w:tcPr>
          <w:p>
            <w:pPr>
              <w:numPr>
                <w:ilvl w:val="0"/>
                <w:numId w:val="2"/>
              </w:numPr>
              <w:tabs>
                <w:tab w:val="left" w:pos="850"/>
              </w:tabs>
              <w:jc w:val="center"/>
              <w:rPr>
                <w:rFonts w:hAnsi="宋体" w:cs="宋体"/>
                <w:szCs w:val="18"/>
              </w:rPr>
            </w:pPr>
          </w:p>
        </w:tc>
        <w:tc>
          <w:tcPr>
            <w:tcW w:w="1440" w:type="dxa"/>
            <w:vMerge w:val="continue"/>
            <w:tcBorders>
              <w:bottom w:val="single" w:color="auto" w:sz="12" w:space="0"/>
            </w:tcBorders>
            <w:vAlign w:val="center"/>
          </w:tcPr>
          <w:p>
            <w:pPr>
              <w:numPr>
                <w:ilvl w:val="0"/>
                <w:numId w:val="2"/>
              </w:numPr>
              <w:tabs>
                <w:tab w:val="left" w:pos="850"/>
              </w:tabs>
              <w:jc w:val="center"/>
              <w:rPr>
                <w:rFonts w:hAnsi="宋体" w:cs="宋体"/>
                <w:szCs w:val="18"/>
              </w:rPr>
            </w:pPr>
          </w:p>
        </w:tc>
        <w:tc>
          <w:tcPr>
            <w:tcW w:w="487" w:type="dxa"/>
            <w:tcBorders>
              <w:top w:val="single" w:color="auto" w:sz="12" w:space="0"/>
              <w:bottom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A</w:t>
            </w:r>
          </w:p>
        </w:tc>
        <w:tc>
          <w:tcPr>
            <w:tcW w:w="443" w:type="dxa"/>
            <w:tcBorders>
              <w:top w:val="single" w:color="auto" w:sz="12" w:space="0"/>
              <w:bottom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B</w:t>
            </w:r>
          </w:p>
        </w:tc>
        <w:tc>
          <w:tcPr>
            <w:tcW w:w="427" w:type="dxa"/>
            <w:tcBorders>
              <w:top w:val="single" w:color="auto" w:sz="12" w:space="0"/>
              <w:bottom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C</w:t>
            </w:r>
          </w:p>
        </w:tc>
        <w:tc>
          <w:tcPr>
            <w:tcW w:w="992" w:type="dxa"/>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致命缺陷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1</w:t>
            </w:r>
          </w:p>
        </w:tc>
        <w:tc>
          <w:tcPr>
            <w:tcW w:w="330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总有效容积</w:t>
            </w:r>
          </w:p>
        </w:tc>
        <w:tc>
          <w:tcPr>
            <w:tcW w:w="1605"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4.2</w:t>
            </w:r>
          </w:p>
        </w:tc>
        <w:tc>
          <w:tcPr>
            <w:tcW w:w="144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5.2</w:t>
            </w:r>
          </w:p>
        </w:tc>
        <w:tc>
          <w:tcPr>
            <w:tcW w:w="487" w:type="dxa"/>
            <w:vAlign w:val="center"/>
          </w:tcPr>
          <w:p>
            <w:pPr>
              <w:pStyle w:val="259"/>
              <w:numPr>
                <w:ilvl w:val="0"/>
                <w:numId w:val="0"/>
              </w:numPr>
              <w:tabs>
                <w:tab w:val="left" w:pos="850"/>
              </w:tabs>
              <w:spacing w:before="3"/>
              <w:jc w:val="center"/>
              <w:rPr>
                <w:rFonts w:hAnsi="宋体" w:cs="宋体"/>
                <w:szCs w:val="18"/>
              </w:rPr>
            </w:pPr>
          </w:p>
        </w:tc>
        <w:tc>
          <w:tcPr>
            <w:tcW w:w="443"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w:t>
            </w: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2</w:t>
            </w:r>
          </w:p>
        </w:tc>
        <w:tc>
          <w:tcPr>
            <w:tcW w:w="330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温度试验</w:t>
            </w:r>
          </w:p>
        </w:tc>
        <w:tc>
          <w:tcPr>
            <w:tcW w:w="1605"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4.3.1</w:t>
            </w:r>
          </w:p>
        </w:tc>
        <w:tc>
          <w:tcPr>
            <w:tcW w:w="144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5.3</w:t>
            </w:r>
          </w:p>
        </w:tc>
        <w:tc>
          <w:tcPr>
            <w:tcW w:w="487"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w:t>
            </w:r>
          </w:p>
        </w:tc>
        <w:tc>
          <w:tcPr>
            <w:tcW w:w="443" w:type="dxa"/>
            <w:vAlign w:val="center"/>
          </w:tcPr>
          <w:p>
            <w:pPr>
              <w:pStyle w:val="259"/>
              <w:numPr>
                <w:ilvl w:val="0"/>
                <w:numId w:val="0"/>
              </w:numPr>
              <w:tabs>
                <w:tab w:val="left" w:pos="850"/>
              </w:tabs>
              <w:spacing w:before="3"/>
              <w:jc w:val="center"/>
              <w:rPr>
                <w:rFonts w:hAnsi="宋体" w:cs="宋体"/>
                <w:szCs w:val="18"/>
              </w:rPr>
            </w:pP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3</w:t>
            </w:r>
          </w:p>
        </w:tc>
        <w:tc>
          <w:tcPr>
            <w:tcW w:w="330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启动性能</w:t>
            </w:r>
          </w:p>
        </w:tc>
        <w:tc>
          <w:tcPr>
            <w:tcW w:w="1605"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4.3.2</w:t>
            </w:r>
          </w:p>
        </w:tc>
        <w:tc>
          <w:tcPr>
            <w:tcW w:w="144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5.4</w:t>
            </w:r>
          </w:p>
        </w:tc>
        <w:tc>
          <w:tcPr>
            <w:tcW w:w="487" w:type="dxa"/>
            <w:vAlign w:val="center"/>
          </w:tcPr>
          <w:p>
            <w:pPr>
              <w:pStyle w:val="259"/>
              <w:numPr>
                <w:ilvl w:val="0"/>
                <w:numId w:val="0"/>
              </w:numPr>
              <w:tabs>
                <w:tab w:val="left" w:pos="850"/>
              </w:tabs>
              <w:spacing w:before="3"/>
              <w:jc w:val="center"/>
              <w:rPr>
                <w:rFonts w:hAnsi="宋体" w:cs="宋体"/>
                <w:szCs w:val="18"/>
              </w:rPr>
            </w:pPr>
          </w:p>
        </w:tc>
        <w:tc>
          <w:tcPr>
            <w:tcW w:w="443"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w:t>
            </w: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4</w:t>
            </w:r>
          </w:p>
        </w:tc>
        <w:tc>
          <w:tcPr>
            <w:tcW w:w="3300" w:type="dxa"/>
            <w:vAlign w:val="center"/>
          </w:tcPr>
          <w:p>
            <w:pPr>
              <w:pStyle w:val="259"/>
              <w:numPr>
                <w:ilvl w:val="0"/>
                <w:numId w:val="0"/>
              </w:numPr>
              <w:tabs>
                <w:tab w:val="left" w:pos="850"/>
              </w:tabs>
              <w:spacing w:before="3"/>
              <w:jc w:val="center"/>
              <w:rPr>
                <w:rFonts w:hAnsi="宋体" w:cs="宋体"/>
                <w:szCs w:val="18"/>
              </w:rPr>
            </w:pPr>
            <w:r>
              <w:rPr>
                <w:rFonts w:hAnsi="宋体" w:cs="宋体"/>
                <w:sz w:val="18"/>
                <w:szCs w:val="18"/>
              </w:rPr>
              <w:t>耗电量、能效指数</w:t>
            </w:r>
          </w:p>
        </w:tc>
        <w:tc>
          <w:tcPr>
            <w:tcW w:w="1605"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4.3.4</w:t>
            </w:r>
          </w:p>
        </w:tc>
        <w:tc>
          <w:tcPr>
            <w:tcW w:w="144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5.6</w:t>
            </w:r>
          </w:p>
        </w:tc>
        <w:tc>
          <w:tcPr>
            <w:tcW w:w="487" w:type="dxa"/>
            <w:vAlign w:val="center"/>
          </w:tcPr>
          <w:p>
            <w:pPr>
              <w:pStyle w:val="259"/>
              <w:numPr>
                <w:ilvl w:val="0"/>
                <w:numId w:val="0"/>
              </w:numPr>
              <w:tabs>
                <w:tab w:val="left" w:pos="850"/>
              </w:tabs>
              <w:spacing w:before="3"/>
              <w:jc w:val="center"/>
              <w:rPr>
                <w:rFonts w:hAnsi="宋体" w:cs="宋体"/>
                <w:szCs w:val="18"/>
              </w:rPr>
            </w:pPr>
          </w:p>
        </w:tc>
        <w:tc>
          <w:tcPr>
            <w:tcW w:w="443" w:type="dxa"/>
            <w:vAlign w:val="center"/>
          </w:tcPr>
          <w:p>
            <w:pPr>
              <w:numPr>
                <w:ilvl w:val="0"/>
                <w:numId w:val="0"/>
              </w:numPr>
              <w:tabs>
                <w:tab w:val="left" w:pos="850"/>
              </w:tabs>
              <w:spacing w:before="3"/>
              <w:jc w:val="center"/>
              <w:rPr>
                <w:rFonts w:hAnsi="宋体" w:cs="宋体"/>
                <w:szCs w:val="18"/>
              </w:rPr>
            </w:pPr>
            <w:r>
              <w:rPr>
                <w:rFonts w:hint="eastAsia" w:hAnsi="宋体" w:cs="宋体"/>
                <w:sz w:val="18"/>
                <w:szCs w:val="18"/>
              </w:rPr>
              <w:t>√</w:t>
            </w: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5</w:t>
            </w:r>
          </w:p>
        </w:tc>
        <w:tc>
          <w:tcPr>
            <w:tcW w:w="330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噪声</w:t>
            </w:r>
          </w:p>
        </w:tc>
        <w:tc>
          <w:tcPr>
            <w:tcW w:w="1605"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4.4</w:t>
            </w:r>
          </w:p>
        </w:tc>
        <w:tc>
          <w:tcPr>
            <w:tcW w:w="144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5.7</w:t>
            </w:r>
          </w:p>
        </w:tc>
        <w:tc>
          <w:tcPr>
            <w:tcW w:w="487" w:type="dxa"/>
            <w:vAlign w:val="center"/>
          </w:tcPr>
          <w:p>
            <w:pPr>
              <w:pStyle w:val="259"/>
              <w:numPr>
                <w:ilvl w:val="0"/>
                <w:numId w:val="0"/>
              </w:numPr>
              <w:tabs>
                <w:tab w:val="left" w:pos="850"/>
              </w:tabs>
              <w:spacing w:before="3"/>
              <w:jc w:val="center"/>
              <w:rPr>
                <w:rFonts w:hAnsi="宋体" w:cs="宋体"/>
                <w:szCs w:val="18"/>
              </w:rPr>
            </w:pPr>
          </w:p>
        </w:tc>
        <w:tc>
          <w:tcPr>
            <w:tcW w:w="443" w:type="dxa"/>
            <w:vAlign w:val="center"/>
          </w:tcPr>
          <w:p>
            <w:pPr>
              <w:numPr>
                <w:ilvl w:val="0"/>
                <w:numId w:val="0"/>
              </w:numPr>
              <w:tabs>
                <w:tab w:val="left" w:pos="850"/>
              </w:tabs>
              <w:spacing w:before="3"/>
              <w:jc w:val="center"/>
              <w:rPr>
                <w:rFonts w:hAnsi="宋体" w:cs="宋体"/>
                <w:szCs w:val="18"/>
              </w:rPr>
            </w:pPr>
            <w:r>
              <w:rPr>
                <w:rFonts w:hint="eastAsia" w:hAnsi="宋体" w:cs="宋体"/>
                <w:sz w:val="18"/>
                <w:szCs w:val="18"/>
              </w:rPr>
              <w:t>√</w:t>
            </w: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6</w:t>
            </w:r>
          </w:p>
        </w:tc>
        <w:tc>
          <w:tcPr>
            <w:tcW w:w="330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制冷系统密封性能</w:t>
            </w:r>
          </w:p>
        </w:tc>
        <w:tc>
          <w:tcPr>
            <w:tcW w:w="1605"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4.7</w:t>
            </w:r>
          </w:p>
        </w:tc>
        <w:tc>
          <w:tcPr>
            <w:tcW w:w="144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5.10</w:t>
            </w:r>
          </w:p>
        </w:tc>
        <w:tc>
          <w:tcPr>
            <w:tcW w:w="487"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w:t>
            </w:r>
          </w:p>
        </w:tc>
        <w:tc>
          <w:tcPr>
            <w:tcW w:w="443" w:type="dxa"/>
            <w:vAlign w:val="center"/>
          </w:tcPr>
          <w:p>
            <w:pPr>
              <w:numPr>
                <w:ilvl w:val="0"/>
                <w:numId w:val="0"/>
              </w:numPr>
              <w:tabs>
                <w:tab w:val="left" w:pos="850"/>
              </w:tabs>
              <w:spacing w:before="3"/>
              <w:jc w:val="center"/>
              <w:rPr>
                <w:rFonts w:hAnsi="宋体" w:cs="宋体"/>
                <w:szCs w:val="18"/>
              </w:rPr>
            </w:pP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7</w:t>
            </w:r>
          </w:p>
        </w:tc>
        <w:tc>
          <w:tcPr>
            <w:tcW w:w="330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对触及带电部件的保护作温度下的泄漏</w:t>
            </w:r>
          </w:p>
        </w:tc>
        <w:tc>
          <w:tcPr>
            <w:tcW w:w="1605" w:type="dxa"/>
            <w:vMerge w:val="restart"/>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4.9</w:t>
            </w:r>
          </w:p>
        </w:tc>
        <w:tc>
          <w:tcPr>
            <w:tcW w:w="1440" w:type="dxa"/>
            <w:vMerge w:val="restart"/>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5.12</w:t>
            </w:r>
          </w:p>
        </w:tc>
        <w:tc>
          <w:tcPr>
            <w:tcW w:w="487" w:type="dxa"/>
            <w:vAlign w:val="center"/>
          </w:tcPr>
          <w:p>
            <w:pPr>
              <w:pStyle w:val="259"/>
              <w:numPr>
                <w:ilvl w:val="0"/>
                <w:numId w:val="0"/>
              </w:numPr>
              <w:tabs>
                <w:tab w:val="left" w:pos="850"/>
              </w:tabs>
              <w:spacing w:before="3"/>
              <w:jc w:val="center"/>
              <w:rPr>
                <w:rFonts w:hAnsi="宋体" w:cs="宋体"/>
                <w:szCs w:val="18"/>
              </w:rPr>
            </w:pPr>
          </w:p>
        </w:tc>
        <w:tc>
          <w:tcPr>
            <w:tcW w:w="443" w:type="dxa"/>
            <w:vAlign w:val="center"/>
          </w:tcPr>
          <w:p>
            <w:pPr>
              <w:numPr>
                <w:ilvl w:val="0"/>
                <w:numId w:val="0"/>
              </w:numPr>
              <w:tabs>
                <w:tab w:val="left" w:pos="850"/>
              </w:tabs>
              <w:spacing w:before="3"/>
              <w:jc w:val="center"/>
              <w:rPr>
                <w:rFonts w:hAnsi="宋体" w:cs="宋体"/>
                <w:szCs w:val="18"/>
              </w:rPr>
            </w:pP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numPr>
                <w:ilvl w:val="0"/>
                <w:numId w:val="0"/>
              </w:numPr>
              <w:tabs>
                <w:tab w:val="left" w:pos="850"/>
              </w:tabs>
              <w:spacing w:before="3"/>
              <w:jc w:val="center"/>
              <w:rPr>
                <w:rFonts w:hAnsi="宋体" w:cs="宋体"/>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8</w:t>
            </w:r>
          </w:p>
        </w:tc>
        <w:tc>
          <w:tcPr>
            <w:tcW w:w="330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电流和电气强泄漏电流和电气强度</w:t>
            </w:r>
          </w:p>
        </w:tc>
        <w:tc>
          <w:tcPr>
            <w:tcW w:w="1605" w:type="dxa"/>
            <w:vMerge w:val="continue"/>
            <w:vAlign w:val="center"/>
          </w:tcPr>
          <w:p>
            <w:pPr>
              <w:pStyle w:val="259"/>
              <w:numPr>
                <w:ilvl w:val="0"/>
                <w:numId w:val="0"/>
              </w:numPr>
              <w:tabs>
                <w:tab w:val="left" w:pos="850"/>
              </w:tabs>
              <w:spacing w:before="3"/>
              <w:jc w:val="center"/>
              <w:rPr>
                <w:rFonts w:hAnsi="宋体" w:cs="宋体"/>
                <w:szCs w:val="18"/>
              </w:rPr>
            </w:pPr>
          </w:p>
        </w:tc>
        <w:tc>
          <w:tcPr>
            <w:tcW w:w="1440" w:type="dxa"/>
            <w:vMerge w:val="continue"/>
            <w:vAlign w:val="center"/>
          </w:tcPr>
          <w:p>
            <w:pPr>
              <w:pStyle w:val="259"/>
              <w:numPr>
                <w:ilvl w:val="0"/>
                <w:numId w:val="0"/>
              </w:numPr>
              <w:tabs>
                <w:tab w:val="left" w:pos="850"/>
              </w:tabs>
              <w:spacing w:before="3"/>
              <w:jc w:val="center"/>
              <w:rPr>
                <w:rFonts w:hAnsi="宋体" w:cs="宋体"/>
                <w:szCs w:val="18"/>
              </w:rPr>
            </w:pPr>
          </w:p>
        </w:tc>
        <w:tc>
          <w:tcPr>
            <w:tcW w:w="487" w:type="dxa"/>
            <w:vAlign w:val="center"/>
          </w:tcPr>
          <w:p>
            <w:pPr>
              <w:pStyle w:val="259"/>
              <w:numPr>
                <w:ilvl w:val="0"/>
                <w:numId w:val="0"/>
              </w:numPr>
              <w:tabs>
                <w:tab w:val="left" w:pos="850"/>
              </w:tabs>
              <w:spacing w:before="3"/>
              <w:jc w:val="center"/>
              <w:rPr>
                <w:rFonts w:hAnsi="宋体" w:cs="宋体"/>
                <w:szCs w:val="18"/>
              </w:rPr>
            </w:pPr>
          </w:p>
        </w:tc>
        <w:tc>
          <w:tcPr>
            <w:tcW w:w="443" w:type="dxa"/>
            <w:vAlign w:val="center"/>
          </w:tcPr>
          <w:p>
            <w:pPr>
              <w:pStyle w:val="259"/>
              <w:numPr>
                <w:ilvl w:val="0"/>
                <w:numId w:val="0"/>
              </w:numPr>
              <w:tabs>
                <w:tab w:val="left" w:pos="850"/>
              </w:tabs>
              <w:spacing w:before="3"/>
              <w:jc w:val="center"/>
              <w:rPr>
                <w:rFonts w:hAnsi="宋体" w:cs="宋体"/>
                <w:szCs w:val="18"/>
              </w:rPr>
            </w:pP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numPr>
                <w:ilvl w:val="0"/>
                <w:numId w:val="0"/>
              </w:numPr>
              <w:tabs>
                <w:tab w:val="left" w:pos="850"/>
              </w:tabs>
              <w:spacing w:before="3"/>
              <w:jc w:val="center"/>
              <w:rPr>
                <w:rFonts w:hAnsi="宋体" w:cs="宋体"/>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9</w:t>
            </w:r>
          </w:p>
        </w:tc>
        <w:tc>
          <w:tcPr>
            <w:tcW w:w="330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稳定性和机械危险</w:t>
            </w:r>
          </w:p>
        </w:tc>
        <w:tc>
          <w:tcPr>
            <w:tcW w:w="1605" w:type="dxa"/>
            <w:vMerge w:val="continue"/>
            <w:vAlign w:val="center"/>
          </w:tcPr>
          <w:p>
            <w:pPr>
              <w:pStyle w:val="259"/>
              <w:numPr>
                <w:ilvl w:val="0"/>
                <w:numId w:val="0"/>
              </w:numPr>
              <w:tabs>
                <w:tab w:val="left" w:pos="850"/>
              </w:tabs>
              <w:spacing w:before="3"/>
              <w:jc w:val="center"/>
              <w:rPr>
                <w:rFonts w:hAnsi="宋体" w:cs="宋体"/>
                <w:szCs w:val="18"/>
              </w:rPr>
            </w:pPr>
          </w:p>
        </w:tc>
        <w:tc>
          <w:tcPr>
            <w:tcW w:w="1440" w:type="dxa"/>
            <w:vMerge w:val="continue"/>
            <w:vAlign w:val="center"/>
          </w:tcPr>
          <w:p>
            <w:pPr>
              <w:pStyle w:val="259"/>
              <w:numPr>
                <w:ilvl w:val="0"/>
                <w:numId w:val="0"/>
              </w:numPr>
              <w:tabs>
                <w:tab w:val="left" w:pos="850"/>
              </w:tabs>
              <w:spacing w:before="3"/>
              <w:jc w:val="center"/>
              <w:rPr>
                <w:rFonts w:hAnsi="宋体" w:cs="宋体"/>
                <w:szCs w:val="18"/>
              </w:rPr>
            </w:pPr>
          </w:p>
        </w:tc>
        <w:tc>
          <w:tcPr>
            <w:tcW w:w="487" w:type="dxa"/>
            <w:vAlign w:val="center"/>
          </w:tcPr>
          <w:p>
            <w:pPr>
              <w:pStyle w:val="259"/>
              <w:numPr>
                <w:ilvl w:val="0"/>
                <w:numId w:val="0"/>
              </w:numPr>
              <w:tabs>
                <w:tab w:val="left" w:pos="850"/>
              </w:tabs>
              <w:spacing w:before="3"/>
              <w:jc w:val="center"/>
              <w:rPr>
                <w:rFonts w:hAnsi="宋体" w:cs="宋体"/>
                <w:szCs w:val="18"/>
              </w:rPr>
            </w:pPr>
          </w:p>
        </w:tc>
        <w:tc>
          <w:tcPr>
            <w:tcW w:w="443" w:type="dxa"/>
            <w:vAlign w:val="center"/>
          </w:tcPr>
          <w:p>
            <w:pPr>
              <w:pStyle w:val="259"/>
              <w:numPr>
                <w:ilvl w:val="0"/>
                <w:numId w:val="0"/>
              </w:numPr>
              <w:tabs>
                <w:tab w:val="left" w:pos="850"/>
              </w:tabs>
              <w:spacing w:before="3"/>
              <w:jc w:val="center"/>
              <w:rPr>
                <w:rFonts w:hAnsi="宋体" w:cs="宋体"/>
                <w:szCs w:val="18"/>
              </w:rPr>
            </w:pP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numPr>
                <w:ilvl w:val="0"/>
                <w:numId w:val="0"/>
              </w:numPr>
              <w:tabs>
                <w:tab w:val="left" w:pos="850"/>
              </w:tabs>
              <w:spacing w:before="3"/>
              <w:jc w:val="center"/>
              <w:rPr>
                <w:rFonts w:hAnsi="宋体" w:cs="宋体"/>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10</w:t>
            </w:r>
          </w:p>
        </w:tc>
        <w:tc>
          <w:tcPr>
            <w:tcW w:w="330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电源连接和外部软线</w:t>
            </w:r>
          </w:p>
        </w:tc>
        <w:tc>
          <w:tcPr>
            <w:tcW w:w="1605" w:type="dxa"/>
            <w:vMerge w:val="continue"/>
            <w:vAlign w:val="center"/>
          </w:tcPr>
          <w:p>
            <w:pPr>
              <w:pStyle w:val="259"/>
              <w:numPr>
                <w:ilvl w:val="0"/>
                <w:numId w:val="0"/>
              </w:numPr>
              <w:tabs>
                <w:tab w:val="left" w:pos="850"/>
              </w:tabs>
              <w:spacing w:before="3"/>
              <w:jc w:val="center"/>
              <w:rPr>
                <w:rFonts w:hAnsi="宋体" w:cs="宋体"/>
                <w:szCs w:val="18"/>
              </w:rPr>
            </w:pPr>
          </w:p>
        </w:tc>
        <w:tc>
          <w:tcPr>
            <w:tcW w:w="1440" w:type="dxa"/>
            <w:vMerge w:val="continue"/>
            <w:vAlign w:val="center"/>
          </w:tcPr>
          <w:p>
            <w:pPr>
              <w:pStyle w:val="259"/>
              <w:numPr>
                <w:ilvl w:val="0"/>
                <w:numId w:val="0"/>
              </w:numPr>
              <w:tabs>
                <w:tab w:val="left" w:pos="850"/>
              </w:tabs>
              <w:spacing w:before="3"/>
              <w:jc w:val="center"/>
              <w:rPr>
                <w:rFonts w:hAnsi="宋体" w:cs="宋体"/>
                <w:szCs w:val="18"/>
              </w:rPr>
            </w:pPr>
          </w:p>
        </w:tc>
        <w:tc>
          <w:tcPr>
            <w:tcW w:w="487" w:type="dxa"/>
            <w:vAlign w:val="center"/>
          </w:tcPr>
          <w:p>
            <w:pPr>
              <w:pStyle w:val="259"/>
              <w:numPr>
                <w:ilvl w:val="0"/>
                <w:numId w:val="0"/>
              </w:numPr>
              <w:tabs>
                <w:tab w:val="left" w:pos="850"/>
              </w:tabs>
              <w:spacing w:before="3"/>
              <w:jc w:val="center"/>
              <w:rPr>
                <w:rFonts w:hAnsi="宋体" w:cs="宋体"/>
                <w:szCs w:val="18"/>
              </w:rPr>
            </w:pPr>
          </w:p>
        </w:tc>
        <w:tc>
          <w:tcPr>
            <w:tcW w:w="443" w:type="dxa"/>
            <w:vAlign w:val="center"/>
          </w:tcPr>
          <w:p>
            <w:pPr>
              <w:pStyle w:val="259"/>
              <w:numPr>
                <w:ilvl w:val="0"/>
                <w:numId w:val="0"/>
              </w:numPr>
              <w:tabs>
                <w:tab w:val="left" w:pos="850"/>
              </w:tabs>
              <w:spacing w:before="3"/>
              <w:jc w:val="center"/>
              <w:rPr>
                <w:rFonts w:hAnsi="宋体" w:cs="宋体"/>
                <w:szCs w:val="18"/>
              </w:rPr>
            </w:pP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numPr>
                <w:ilvl w:val="0"/>
                <w:numId w:val="0"/>
              </w:numPr>
              <w:tabs>
                <w:tab w:val="left" w:pos="850"/>
              </w:tabs>
              <w:spacing w:before="3"/>
              <w:jc w:val="center"/>
              <w:rPr>
                <w:rFonts w:hAnsi="宋体" w:cs="宋体"/>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11</w:t>
            </w:r>
          </w:p>
        </w:tc>
        <w:tc>
          <w:tcPr>
            <w:tcW w:w="330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接地措施</w:t>
            </w:r>
          </w:p>
        </w:tc>
        <w:tc>
          <w:tcPr>
            <w:tcW w:w="1605" w:type="dxa"/>
            <w:vMerge w:val="continue"/>
            <w:vAlign w:val="center"/>
          </w:tcPr>
          <w:p>
            <w:pPr>
              <w:pStyle w:val="259"/>
              <w:numPr>
                <w:ilvl w:val="0"/>
                <w:numId w:val="0"/>
              </w:numPr>
              <w:tabs>
                <w:tab w:val="left" w:pos="850"/>
              </w:tabs>
              <w:spacing w:before="3"/>
              <w:jc w:val="center"/>
              <w:rPr>
                <w:rFonts w:hAnsi="宋体" w:cs="宋体"/>
                <w:szCs w:val="18"/>
              </w:rPr>
            </w:pPr>
          </w:p>
        </w:tc>
        <w:tc>
          <w:tcPr>
            <w:tcW w:w="1440" w:type="dxa"/>
            <w:vMerge w:val="continue"/>
            <w:vAlign w:val="center"/>
          </w:tcPr>
          <w:p>
            <w:pPr>
              <w:pStyle w:val="259"/>
              <w:numPr>
                <w:ilvl w:val="0"/>
                <w:numId w:val="0"/>
              </w:numPr>
              <w:tabs>
                <w:tab w:val="left" w:pos="850"/>
              </w:tabs>
              <w:spacing w:before="3"/>
              <w:jc w:val="center"/>
              <w:rPr>
                <w:rFonts w:hAnsi="宋体" w:cs="宋体"/>
                <w:szCs w:val="18"/>
              </w:rPr>
            </w:pPr>
          </w:p>
        </w:tc>
        <w:tc>
          <w:tcPr>
            <w:tcW w:w="487" w:type="dxa"/>
            <w:vAlign w:val="center"/>
          </w:tcPr>
          <w:p>
            <w:pPr>
              <w:pStyle w:val="259"/>
              <w:numPr>
                <w:ilvl w:val="0"/>
                <w:numId w:val="0"/>
              </w:numPr>
              <w:tabs>
                <w:tab w:val="left" w:pos="850"/>
              </w:tabs>
              <w:spacing w:before="3"/>
              <w:jc w:val="center"/>
              <w:rPr>
                <w:rFonts w:hAnsi="宋体" w:cs="宋体"/>
                <w:szCs w:val="18"/>
              </w:rPr>
            </w:pPr>
          </w:p>
        </w:tc>
        <w:tc>
          <w:tcPr>
            <w:tcW w:w="443" w:type="dxa"/>
            <w:vAlign w:val="center"/>
          </w:tcPr>
          <w:p>
            <w:pPr>
              <w:pStyle w:val="259"/>
              <w:numPr>
                <w:ilvl w:val="0"/>
                <w:numId w:val="0"/>
              </w:numPr>
              <w:tabs>
                <w:tab w:val="left" w:pos="850"/>
              </w:tabs>
              <w:spacing w:before="3"/>
              <w:jc w:val="center"/>
              <w:rPr>
                <w:rFonts w:hAnsi="宋体" w:cs="宋体"/>
                <w:szCs w:val="18"/>
              </w:rPr>
            </w:pP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numPr>
                <w:ilvl w:val="0"/>
                <w:numId w:val="0"/>
              </w:numPr>
              <w:tabs>
                <w:tab w:val="left" w:pos="850"/>
              </w:tabs>
              <w:spacing w:before="3"/>
              <w:jc w:val="center"/>
              <w:rPr>
                <w:rFonts w:hAnsi="宋体" w:cs="宋体"/>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12</w:t>
            </w:r>
          </w:p>
        </w:tc>
        <w:tc>
          <w:tcPr>
            <w:tcW w:w="3300"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外观</w:t>
            </w:r>
          </w:p>
        </w:tc>
        <w:tc>
          <w:tcPr>
            <w:tcW w:w="1605" w:type="dxa"/>
            <w:tcBorders>
              <w:bottom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4.16</w:t>
            </w:r>
          </w:p>
        </w:tc>
        <w:tc>
          <w:tcPr>
            <w:tcW w:w="1440" w:type="dxa"/>
            <w:tcBorders>
              <w:bottom w:val="single" w:color="auto" w:sz="12" w:space="0"/>
            </w:tcBorders>
            <w:vAlign w:val="center"/>
          </w:tcPr>
          <w:p>
            <w:pPr>
              <w:pStyle w:val="259"/>
              <w:numPr>
                <w:ilvl w:val="0"/>
                <w:numId w:val="0"/>
              </w:numPr>
              <w:tabs>
                <w:tab w:val="left" w:pos="850"/>
              </w:tabs>
              <w:spacing w:before="3"/>
              <w:jc w:val="center"/>
              <w:rPr>
                <w:rFonts w:hAnsi="宋体" w:cs="宋体"/>
                <w:sz w:val="18"/>
                <w:szCs w:val="18"/>
              </w:rPr>
            </w:pPr>
            <w:r>
              <w:rPr>
                <w:rFonts w:hint="eastAsia" w:hAnsi="宋体" w:cs="宋体"/>
                <w:sz w:val="18"/>
                <w:szCs w:val="18"/>
              </w:rPr>
              <w:t>5.19</w:t>
            </w:r>
          </w:p>
        </w:tc>
        <w:tc>
          <w:tcPr>
            <w:tcW w:w="487"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p>
        </w:tc>
        <w:tc>
          <w:tcPr>
            <w:tcW w:w="443"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p>
        </w:tc>
        <w:tc>
          <w:tcPr>
            <w:tcW w:w="427"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w:t>
            </w:r>
          </w:p>
        </w:tc>
        <w:tc>
          <w:tcPr>
            <w:tcW w:w="992" w:type="dxa"/>
            <w:tcBorders>
              <w:bottom w:val="single" w:color="auto" w:sz="12" w:space="0"/>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bl>
    <w:p>
      <w:pPr>
        <w:pStyle w:val="131"/>
        <w:widowControl w:val="0"/>
        <w:rPr>
          <w:spacing w:val="-3"/>
          <w:w w:val="105"/>
          <w:szCs w:val="21"/>
        </w:rPr>
      </w:pPr>
      <w:r>
        <w:rPr>
          <w:rFonts w:hint="eastAsia"/>
          <w:spacing w:val="-3"/>
          <w:w w:val="105"/>
          <w:szCs w:val="21"/>
        </w:rPr>
        <w:t>表5中序号为6、7、8、11、12为全检项目，其它项目为抽样检查。</w:t>
      </w:r>
    </w:p>
    <w:p>
      <w:pPr>
        <w:pStyle w:val="131"/>
        <w:widowControl w:val="0"/>
        <w:rPr>
          <w:spacing w:val="-3"/>
          <w:w w:val="105"/>
          <w:szCs w:val="21"/>
        </w:rPr>
      </w:pPr>
      <w:r>
        <w:rPr>
          <w:spacing w:val="-3"/>
          <w:w w:val="105"/>
          <w:szCs w:val="21"/>
        </w:rPr>
        <w:t>出厂检验抽样按GB/T</w:t>
      </w:r>
      <w:r>
        <w:rPr>
          <w:rFonts w:hint="eastAsia"/>
          <w:spacing w:val="-3"/>
          <w:w w:val="105"/>
          <w:szCs w:val="21"/>
        </w:rPr>
        <w:t xml:space="preserve"> </w:t>
      </w:r>
      <w:r>
        <w:rPr>
          <w:spacing w:val="-3"/>
          <w:w w:val="105"/>
          <w:szCs w:val="21"/>
        </w:rPr>
        <w:t>2828.1规定的一次正常抽样方案进行</w:t>
      </w:r>
      <w:r>
        <w:rPr>
          <w:rFonts w:hint="eastAsia"/>
          <w:spacing w:val="-3"/>
          <w:w w:val="105"/>
          <w:szCs w:val="21"/>
        </w:rPr>
        <w:t>。A类不合格项和致命缺陷项为全检样本，</w:t>
      </w:r>
      <w:r>
        <w:rPr>
          <w:rFonts w:hint="eastAsia"/>
        </w:rPr>
        <w:t>应100%合格</w:t>
      </w:r>
      <w:r>
        <w:rPr>
          <w:rFonts w:hint="eastAsia"/>
          <w:spacing w:val="-3"/>
          <w:w w:val="105"/>
          <w:szCs w:val="21"/>
        </w:rPr>
        <w:t>，只要出现不合格项，则判该批产品不合格。B类不合格项的检查水平为S-4，AQL值为0.65，B类不合格项的检查水平为Ⅱ，AQL值为4.0。</w:t>
      </w:r>
    </w:p>
    <w:p>
      <w:pPr>
        <w:pStyle w:val="131"/>
        <w:widowControl w:val="0"/>
        <w:rPr>
          <w:spacing w:val="-3"/>
          <w:w w:val="105"/>
          <w:szCs w:val="21"/>
        </w:rPr>
      </w:pPr>
      <w:r>
        <w:rPr>
          <w:spacing w:val="-3"/>
          <w:w w:val="105"/>
          <w:szCs w:val="21"/>
        </w:rPr>
        <w:t>出厂检验后，经检验合格的样品可作为合格品交付订货方。</w:t>
      </w:r>
    </w:p>
    <w:p>
      <w:pPr>
        <w:pStyle w:val="119"/>
        <w:spacing w:before="156" w:after="156"/>
        <w:rPr>
          <w:rFonts w:hAnsi="黑体"/>
          <w:w w:val="105"/>
        </w:rPr>
      </w:pPr>
      <w:r>
        <w:rPr>
          <w:rFonts w:hAnsi="黑体"/>
          <w:w w:val="105"/>
        </w:rPr>
        <w:t>型式检验</w:t>
      </w:r>
    </w:p>
    <w:p>
      <w:pPr>
        <w:pStyle w:val="131"/>
        <w:widowControl w:val="0"/>
        <w:rPr>
          <w:w w:val="105"/>
          <w:szCs w:val="21"/>
        </w:rPr>
      </w:pPr>
      <w:r>
        <w:rPr>
          <w:w w:val="105"/>
          <w:szCs w:val="21"/>
        </w:rPr>
        <w:t xml:space="preserve">有下列情况之一时，应进行型式检验： </w:t>
      </w:r>
    </w:p>
    <w:p>
      <w:pPr>
        <w:pStyle w:val="246"/>
        <w:numPr>
          <w:ilvl w:val="0"/>
          <w:numId w:val="25"/>
        </w:numPr>
        <w:tabs>
          <w:tab w:val="clear" w:pos="840"/>
        </w:tabs>
        <w:jc w:val="left"/>
        <w:rPr>
          <w:w w:val="105"/>
          <w:szCs w:val="21"/>
        </w:rPr>
      </w:pPr>
      <w:r>
        <w:rPr>
          <w:w w:val="105"/>
          <w:szCs w:val="21"/>
        </w:rPr>
        <w:t xml:space="preserve">新产品或老产品转厂生产的试制定型鉴定时； </w:t>
      </w:r>
    </w:p>
    <w:p>
      <w:pPr>
        <w:pStyle w:val="246"/>
        <w:numPr>
          <w:ilvl w:val="0"/>
          <w:numId w:val="25"/>
        </w:numPr>
        <w:jc w:val="left"/>
        <w:rPr>
          <w:w w:val="105"/>
          <w:szCs w:val="21"/>
        </w:rPr>
      </w:pPr>
      <w:r>
        <w:rPr>
          <w:w w:val="105"/>
          <w:szCs w:val="21"/>
        </w:rPr>
        <w:t xml:space="preserve">正式生产后，如材料、工艺有较大改变，可能影响产品性能时； </w:t>
      </w:r>
    </w:p>
    <w:p>
      <w:pPr>
        <w:pStyle w:val="246"/>
        <w:numPr>
          <w:ilvl w:val="0"/>
          <w:numId w:val="25"/>
        </w:numPr>
        <w:jc w:val="left"/>
        <w:rPr>
          <w:w w:val="105"/>
          <w:szCs w:val="21"/>
        </w:rPr>
      </w:pPr>
      <w:r>
        <w:rPr>
          <w:w w:val="105"/>
          <w:szCs w:val="21"/>
        </w:rPr>
        <w:t xml:space="preserve">正常生产时，每年至少一次； </w:t>
      </w:r>
    </w:p>
    <w:p>
      <w:pPr>
        <w:pStyle w:val="246"/>
        <w:numPr>
          <w:ilvl w:val="0"/>
          <w:numId w:val="25"/>
        </w:numPr>
        <w:jc w:val="left"/>
        <w:rPr>
          <w:w w:val="105"/>
          <w:szCs w:val="21"/>
        </w:rPr>
      </w:pPr>
      <w:r>
        <w:rPr>
          <w:w w:val="105"/>
          <w:szCs w:val="21"/>
        </w:rPr>
        <w:t xml:space="preserve">停产半年以上，恢复生产时； </w:t>
      </w:r>
    </w:p>
    <w:p>
      <w:pPr>
        <w:pStyle w:val="246"/>
        <w:numPr>
          <w:ilvl w:val="0"/>
          <w:numId w:val="25"/>
        </w:numPr>
        <w:jc w:val="left"/>
        <w:rPr>
          <w:w w:val="105"/>
          <w:szCs w:val="21"/>
        </w:rPr>
      </w:pPr>
      <w:r>
        <w:rPr>
          <w:w w:val="105"/>
          <w:szCs w:val="21"/>
        </w:rPr>
        <w:t>出厂检验结果与上次型式检验有较大差异时。</w:t>
      </w:r>
    </w:p>
    <w:p>
      <w:pPr>
        <w:pStyle w:val="131"/>
        <w:widowControl w:val="0"/>
      </w:pPr>
      <w:r>
        <w:rPr>
          <w:rFonts w:hint="eastAsia"/>
        </w:rPr>
        <w:t>型式检验项目及其不合格分类按表</w:t>
      </w:r>
      <w:r>
        <w:rPr>
          <w:rFonts w:hint="eastAsia"/>
          <w:lang w:val="en-US" w:eastAsia="zh-CN"/>
        </w:rPr>
        <w:t>5</w:t>
      </w:r>
      <w:r>
        <w:rPr>
          <w:rFonts w:hint="eastAsia"/>
        </w:rPr>
        <w:t>规定。</w:t>
      </w:r>
    </w:p>
    <w:p>
      <w:pPr>
        <w:pStyle w:val="208"/>
        <w:tabs>
          <w:tab w:val="left" w:pos="0"/>
        </w:tabs>
        <w:spacing w:before="156" w:after="156"/>
        <w:rPr>
          <w:w w:val="105"/>
        </w:rPr>
      </w:pPr>
      <w:r>
        <w:rPr>
          <w:w w:val="105"/>
        </w:rPr>
        <w:t>型式</w:t>
      </w:r>
      <w:r>
        <w:rPr>
          <w:rFonts w:hint="eastAsia"/>
          <w:w w:val="105"/>
        </w:rPr>
        <w:t>检</w:t>
      </w:r>
      <w:r>
        <w:rPr>
          <w:w w:val="105"/>
        </w:rPr>
        <w:t>验项目</w:t>
      </w:r>
      <w:r>
        <w:rPr>
          <w:rFonts w:hint="eastAsia"/>
          <w:w w:val="105"/>
        </w:rPr>
        <w:t>及其</w:t>
      </w:r>
      <w:r>
        <w:rPr>
          <w:w w:val="105"/>
        </w:rPr>
        <w:t>不合格分类</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3300"/>
        <w:gridCol w:w="1605"/>
        <w:gridCol w:w="1440"/>
        <w:gridCol w:w="487"/>
        <w:gridCol w:w="443"/>
        <w:gridCol w:w="427"/>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restart"/>
            <w:tcBorders>
              <w:top w:val="single" w:color="auto" w:sz="12" w:space="0"/>
              <w:lef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序号</w:t>
            </w:r>
          </w:p>
        </w:tc>
        <w:tc>
          <w:tcPr>
            <w:tcW w:w="3300" w:type="dxa"/>
            <w:vMerge w:val="restart"/>
            <w:tcBorders>
              <w:top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检验项目</w:t>
            </w:r>
          </w:p>
        </w:tc>
        <w:tc>
          <w:tcPr>
            <w:tcW w:w="1605" w:type="dxa"/>
            <w:vMerge w:val="restart"/>
            <w:tcBorders>
              <w:top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要求</w:t>
            </w:r>
          </w:p>
        </w:tc>
        <w:tc>
          <w:tcPr>
            <w:tcW w:w="1440" w:type="dxa"/>
            <w:vMerge w:val="restart"/>
            <w:tcBorders>
              <w:top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试验方法</w:t>
            </w:r>
          </w:p>
        </w:tc>
        <w:tc>
          <w:tcPr>
            <w:tcW w:w="2349" w:type="dxa"/>
            <w:gridSpan w:val="4"/>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不合格分类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continue"/>
            <w:tcBorders>
              <w:left w:val="single" w:color="auto" w:sz="12" w:space="0"/>
              <w:bottom w:val="single" w:color="auto" w:sz="12" w:space="0"/>
            </w:tcBorders>
            <w:vAlign w:val="center"/>
          </w:tcPr>
          <w:p>
            <w:pPr>
              <w:numPr>
                <w:ilvl w:val="0"/>
                <w:numId w:val="0"/>
              </w:numPr>
              <w:tabs>
                <w:tab w:val="left" w:pos="850"/>
              </w:tabs>
              <w:jc w:val="center"/>
              <w:rPr>
                <w:rFonts w:hAnsi="宋体" w:cs="宋体"/>
                <w:szCs w:val="18"/>
              </w:rPr>
            </w:pPr>
          </w:p>
        </w:tc>
        <w:tc>
          <w:tcPr>
            <w:tcW w:w="3300" w:type="dxa"/>
            <w:vMerge w:val="continue"/>
            <w:tcBorders>
              <w:bottom w:val="single" w:color="auto" w:sz="12" w:space="0"/>
            </w:tcBorders>
            <w:vAlign w:val="center"/>
          </w:tcPr>
          <w:p>
            <w:pPr>
              <w:numPr>
                <w:ilvl w:val="0"/>
                <w:numId w:val="0"/>
              </w:numPr>
              <w:tabs>
                <w:tab w:val="left" w:pos="850"/>
              </w:tabs>
              <w:jc w:val="center"/>
              <w:rPr>
                <w:rFonts w:hAnsi="宋体" w:cs="宋体"/>
                <w:szCs w:val="18"/>
              </w:rPr>
            </w:pPr>
          </w:p>
        </w:tc>
        <w:tc>
          <w:tcPr>
            <w:tcW w:w="1605" w:type="dxa"/>
            <w:vMerge w:val="continue"/>
            <w:tcBorders>
              <w:bottom w:val="single" w:color="auto" w:sz="12" w:space="0"/>
            </w:tcBorders>
            <w:vAlign w:val="center"/>
          </w:tcPr>
          <w:p>
            <w:pPr>
              <w:numPr>
                <w:ilvl w:val="0"/>
                <w:numId w:val="0"/>
              </w:numPr>
              <w:tabs>
                <w:tab w:val="left" w:pos="850"/>
              </w:tabs>
              <w:jc w:val="center"/>
              <w:rPr>
                <w:rFonts w:hAnsi="宋体" w:cs="宋体"/>
                <w:szCs w:val="18"/>
              </w:rPr>
            </w:pPr>
          </w:p>
        </w:tc>
        <w:tc>
          <w:tcPr>
            <w:tcW w:w="1440" w:type="dxa"/>
            <w:vMerge w:val="continue"/>
            <w:tcBorders>
              <w:bottom w:val="single" w:color="auto" w:sz="12" w:space="0"/>
            </w:tcBorders>
            <w:vAlign w:val="center"/>
          </w:tcPr>
          <w:p>
            <w:pPr>
              <w:numPr>
                <w:ilvl w:val="0"/>
                <w:numId w:val="0"/>
              </w:numPr>
              <w:tabs>
                <w:tab w:val="left" w:pos="850"/>
              </w:tabs>
              <w:jc w:val="center"/>
              <w:rPr>
                <w:rFonts w:hAnsi="宋体" w:cs="宋体"/>
                <w:szCs w:val="18"/>
              </w:rPr>
            </w:pPr>
          </w:p>
        </w:tc>
        <w:tc>
          <w:tcPr>
            <w:tcW w:w="487" w:type="dxa"/>
            <w:tcBorders>
              <w:top w:val="single" w:color="auto" w:sz="12" w:space="0"/>
              <w:bottom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A</w:t>
            </w:r>
          </w:p>
        </w:tc>
        <w:tc>
          <w:tcPr>
            <w:tcW w:w="443" w:type="dxa"/>
            <w:tcBorders>
              <w:top w:val="single" w:color="auto" w:sz="12" w:space="0"/>
              <w:bottom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B</w:t>
            </w:r>
          </w:p>
        </w:tc>
        <w:tc>
          <w:tcPr>
            <w:tcW w:w="427" w:type="dxa"/>
            <w:tcBorders>
              <w:top w:val="single" w:color="auto" w:sz="12" w:space="0"/>
              <w:bottom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C</w:t>
            </w:r>
          </w:p>
        </w:tc>
        <w:tc>
          <w:tcPr>
            <w:tcW w:w="992" w:type="dxa"/>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致命缺陷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787" w:type="dxa"/>
            <w:tcBorders>
              <w:top w:val="single" w:color="auto" w:sz="12" w:space="0"/>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1</w:t>
            </w:r>
          </w:p>
        </w:tc>
        <w:tc>
          <w:tcPr>
            <w:tcW w:w="3300" w:type="dxa"/>
            <w:tcBorders>
              <w:top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总有效容积</w:t>
            </w:r>
          </w:p>
        </w:tc>
        <w:tc>
          <w:tcPr>
            <w:tcW w:w="1605" w:type="dxa"/>
            <w:tcBorders>
              <w:top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4.2</w:t>
            </w:r>
          </w:p>
        </w:tc>
        <w:tc>
          <w:tcPr>
            <w:tcW w:w="1440" w:type="dxa"/>
            <w:tcBorders>
              <w:top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5.2</w:t>
            </w:r>
          </w:p>
        </w:tc>
        <w:tc>
          <w:tcPr>
            <w:tcW w:w="487" w:type="dxa"/>
            <w:tcBorders>
              <w:top w:val="single" w:color="auto" w:sz="12" w:space="0"/>
            </w:tcBorders>
            <w:vAlign w:val="center"/>
          </w:tcPr>
          <w:p>
            <w:pPr>
              <w:pStyle w:val="259"/>
              <w:numPr>
                <w:ilvl w:val="0"/>
                <w:numId w:val="0"/>
              </w:numPr>
              <w:tabs>
                <w:tab w:val="left" w:pos="850"/>
              </w:tabs>
              <w:spacing w:before="3"/>
              <w:jc w:val="center"/>
              <w:rPr>
                <w:rFonts w:hAnsi="宋体" w:cs="宋体"/>
                <w:szCs w:val="18"/>
              </w:rPr>
            </w:pPr>
          </w:p>
        </w:tc>
        <w:tc>
          <w:tcPr>
            <w:tcW w:w="443" w:type="dxa"/>
            <w:tcBorders>
              <w:top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w:t>
            </w:r>
          </w:p>
        </w:tc>
        <w:tc>
          <w:tcPr>
            <w:tcW w:w="427" w:type="dxa"/>
            <w:tcBorders>
              <w:top w:val="single" w:color="auto" w:sz="12" w:space="0"/>
            </w:tcBorders>
            <w:vAlign w:val="center"/>
          </w:tcPr>
          <w:p>
            <w:pPr>
              <w:pStyle w:val="259"/>
              <w:numPr>
                <w:ilvl w:val="0"/>
                <w:numId w:val="0"/>
              </w:numPr>
              <w:tabs>
                <w:tab w:val="left" w:pos="850"/>
              </w:tabs>
              <w:spacing w:before="3"/>
              <w:jc w:val="center"/>
              <w:rPr>
                <w:rFonts w:hAnsi="宋体" w:cs="宋体"/>
                <w:szCs w:val="18"/>
              </w:rPr>
            </w:pPr>
          </w:p>
        </w:tc>
        <w:tc>
          <w:tcPr>
            <w:tcW w:w="992" w:type="dxa"/>
            <w:tcBorders>
              <w:top w:val="single" w:color="auto" w:sz="12" w:space="0"/>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2</w:t>
            </w:r>
          </w:p>
        </w:tc>
        <w:tc>
          <w:tcPr>
            <w:tcW w:w="330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温度试验</w:t>
            </w:r>
          </w:p>
        </w:tc>
        <w:tc>
          <w:tcPr>
            <w:tcW w:w="1605"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4.3.1</w:t>
            </w:r>
          </w:p>
        </w:tc>
        <w:tc>
          <w:tcPr>
            <w:tcW w:w="144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5.3</w:t>
            </w:r>
          </w:p>
        </w:tc>
        <w:tc>
          <w:tcPr>
            <w:tcW w:w="487"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w:t>
            </w:r>
          </w:p>
        </w:tc>
        <w:tc>
          <w:tcPr>
            <w:tcW w:w="443" w:type="dxa"/>
            <w:vAlign w:val="center"/>
          </w:tcPr>
          <w:p>
            <w:pPr>
              <w:pStyle w:val="259"/>
              <w:numPr>
                <w:ilvl w:val="0"/>
                <w:numId w:val="0"/>
              </w:numPr>
              <w:tabs>
                <w:tab w:val="left" w:pos="850"/>
              </w:tabs>
              <w:spacing w:before="3"/>
              <w:jc w:val="center"/>
              <w:rPr>
                <w:rFonts w:hAnsi="宋体" w:cs="宋体"/>
                <w:szCs w:val="18"/>
              </w:rPr>
            </w:pP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3</w:t>
            </w:r>
          </w:p>
        </w:tc>
        <w:tc>
          <w:tcPr>
            <w:tcW w:w="330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启动性能</w:t>
            </w:r>
          </w:p>
        </w:tc>
        <w:tc>
          <w:tcPr>
            <w:tcW w:w="1605"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4.3.2</w:t>
            </w:r>
          </w:p>
        </w:tc>
        <w:tc>
          <w:tcPr>
            <w:tcW w:w="144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5.4</w:t>
            </w:r>
          </w:p>
        </w:tc>
        <w:tc>
          <w:tcPr>
            <w:tcW w:w="487" w:type="dxa"/>
            <w:vAlign w:val="center"/>
          </w:tcPr>
          <w:p>
            <w:pPr>
              <w:pStyle w:val="259"/>
              <w:numPr>
                <w:ilvl w:val="0"/>
                <w:numId w:val="0"/>
              </w:numPr>
              <w:tabs>
                <w:tab w:val="left" w:pos="850"/>
              </w:tabs>
              <w:spacing w:before="3"/>
              <w:jc w:val="center"/>
              <w:rPr>
                <w:rFonts w:hAnsi="宋体" w:cs="宋体"/>
                <w:szCs w:val="18"/>
              </w:rPr>
            </w:pPr>
          </w:p>
        </w:tc>
        <w:tc>
          <w:tcPr>
            <w:tcW w:w="443"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w:t>
            </w: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4</w:t>
            </w:r>
          </w:p>
        </w:tc>
        <w:tc>
          <w:tcPr>
            <w:tcW w:w="330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耐电压波动性能</w:t>
            </w:r>
          </w:p>
        </w:tc>
        <w:tc>
          <w:tcPr>
            <w:tcW w:w="1605"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4.3.3</w:t>
            </w:r>
          </w:p>
        </w:tc>
        <w:tc>
          <w:tcPr>
            <w:tcW w:w="144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5.5</w:t>
            </w:r>
          </w:p>
        </w:tc>
        <w:tc>
          <w:tcPr>
            <w:tcW w:w="487" w:type="dxa"/>
            <w:vAlign w:val="center"/>
          </w:tcPr>
          <w:p>
            <w:pPr>
              <w:pStyle w:val="259"/>
              <w:numPr>
                <w:ilvl w:val="0"/>
                <w:numId w:val="0"/>
              </w:numPr>
              <w:tabs>
                <w:tab w:val="left" w:pos="850"/>
              </w:tabs>
              <w:spacing w:before="3"/>
              <w:jc w:val="center"/>
              <w:rPr>
                <w:rFonts w:hAnsi="宋体" w:cs="宋体"/>
                <w:szCs w:val="18"/>
              </w:rPr>
            </w:pPr>
          </w:p>
        </w:tc>
        <w:tc>
          <w:tcPr>
            <w:tcW w:w="443"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w:t>
            </w: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5</w:t>
            </w:r>
          </w:p>
        </w:tc>
        <w:tc>
          <w:tcPr>
            <w:tcW w:w="3300" w:type="dxa"/>
            <w:vAlign w:val="center"/>
          </w:tcPr>
          <w:p>
            <w:pPr>
              <w:pStyle w:val="259"/>
              <w:numPr>
                <w:ilvl w:val="0"/>
                <w:numId w:val="0"/>
              </w:numPr>
              <w:tabs>
                <w:tab w:val="left" w:pos="850"/>
              </w:tabs>
              <w:spacing w:before="3"/>
              <w:jc w:val="center"/>
              <w:rPr>
                <w:rFonts w:hAnsi="宋体" w:cs="宋体"/>
                <w:szCs w:val="18"/>
              </w:rPr>
            </w:pPr>
            <w:r>
              <w:rPr>
                <w:rFonts w:hAnsi="宋体" w:cs="宋体"/>
                <w:color w:val="000000" w:themeColor="text1"/>
                <w:sz w:val="18"/>
                <w:szCs w:val="18"/>
                <w14:textFill>
                  <w14:solidFill>
                    <w14:schemeClr w14:val="tx1"/>
                  </w14:solidFill>
                </w14:textFill>
              </w:rPr>
              <w:t>耗电量、能效指数</w:t>
            </w:r>
          </w:p>
        </w:tc>
        <w:tc>
          <w:tcPr>
            <w:tcW w:w="1605"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4.3.4</w:t>
            </w:r>
          </w:p>
        </w:tc>
        <w:tc>
          <w:tcPr>
            <w:tcW w:w="144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5.6</w:t>
            </w:r>
          </w:p>
        </w:tc>
        <w:tc>
          <w:tcPr>
            <w:tcW w:w="487"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w:t>
            </w:r>
          </w:p>
        </w:tc>
        <w:tc>
          <w:tcPr>
            <w:tcW w:w="443" w:type="dxa"/>
            <w:vAlign w:val="center"/>
          </w:tcPr>
          <w:p>
            <w:pPr>
              <w:pStyle w:val="259"/>
              <w:numPr>
                <w:ilvl w:val="0"/>
                <w:numId w:val="0"/>
              </w:numPr>
              <w:tabs>
                <w:tab w:val="left" w:pos="850"/>
              </w:tabs>
              <w:spacing w:before="3"/>
              <w:jc w:val="center"/>
              <w:rPr>
                <w:rFonts w:hAnsi="宋体" w:cs="宋体"/>
                <w:szCs w:val="18"/>
              </w:rPr>
            </w:pP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6</w:t>
            </w:r>
          </w:p>
        </w:tc>
        <w:tc>
          <w:tcPr>
            <w:tcW w:w="330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噪声</w:t>
            </w:r>
          </w:p>
        </w:tc>
        <w:tc>
          <w:tcPr>
            <w:tcW w:w="1605"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4.4</w:t>
            </w:r>
          </w:p>
        </w:tc>
        <w:tc>
          <w:tcPr>
            <w:tcW w:w="144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5.7</w:t>
            </w:r>
          </w:p>
        </w:tc>
        <w:tc>
          <w:tcPr>
            <w:tcW w:w="487" w:type="dxa"/>
            <w:vAlign w:val="center"/>
          </w:tcPr>
          <w:p>
            <w:pPr>
              <w:pStyle w:val="259"/>
              <w:numPr>
                <w:ilvl w:val="0"/>
                <w:numId w:val="0"/>
              </w:numPr>
              <w:tabs>
                <w:tab w:val="left" w:pos="850"/>
              </w:tabs>
              <w:spacing w:before="3"/>
              <w:jc w:val="center"/>
              <w:rPr>
                <w:rFonts w:hAnsi="宋体" w:cs="宋体"/>
                <w:szCs w:val="18"/>
              </w:rPr>
            </w:pPr>
          </w:p>
        </w:tc>
        <w:tc>
          <w:tcPr>
            <w:tcW w:w="443"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w:t>
            </w: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7</w:t>
            </w:r>
          </w:p>
        </w:tc>
        <w:tc>
          <w:tcPr>
            <w:tcW w:w="3300"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水蒸气凝结</w:t>
            </w:r>
          </w:p>
        </w:tc>
        <w:tc>
          <w:tcPr>
            <w:tcW w:w="1605"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4.5</w:t>
            </w:r>
          </w:p>
        </w:tc>
        <w:tc>
          <w:tcPr>
            <w:tcW w:w="1440"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5.8</w:t>
            </w:r>
          </w:p>
        </w:tc>
        <w:tc>
          <w:tcPr>
            <w:tcW w:w="487" w:type="dxa"/>
            <w:vAlign w:val="center"/>
          </w:tcPr>
          <w:p>
            <w:pPr>
              <w:pStyle w:val="259"/>
              <w:numPr>
                <w:ilvl w:val="0"/>
                <w:numId w:val="0"/>
              </w:numPr>
              <w:tabs>
                <w:tab w:val="left" w:pos="850"/>
              </w:tabs>
              <w:spacing w:before="3"/>
              <w:jc w:val="center"/>
              <w:rPr>
                <w:rFonts w:hAnsi="宋体" w:cs="宋体"/>
                <w:color w:val="auto"/>
                <w:szCs w:val="18"/>
              </w:rPr>
            </w:pPr>
          </w:p>
        </w:tc>
        <w:tc>
          <w:tcPr>
            <w:tcW w:w="443"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w:t>
            </w: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8</w:t>
            </w:r>
          </w:p>
        </w:tc>
        <w:tc>
          <w:tcPr>
            <w:tcW w:w="3300" w:type="dxa"/>
            <w:vAlign w:val="center"/>
          </w:tcPr>
          <w:p>
            <w:pPr>
              <w:pStyle w:val="259"/>
              <w:numPr>
                <w:ilvl w:val="0"/>
                <w:numId w:val="0"/>
              </w:numPr>
              <w:tabs>
                <w:tab w:val="left" w:pos="850"/>
              </w:tabs>
              <w:spacing w:before="3"/>
              <w:jc w:val="center"/>
              <w:rPr>
                <w:rFonts w:hAnsi="宋体" w:cs="宋体"/>
                <w:color w:val="auto"/>
                <w:sz w:val="18"/>
                <w:szCs w:val="18"/>
              </w:rPr>
            </w:pPr>
            <w:r>
              <w:rPr>
                <w:rFonts w:hAnsi="宋体" w:cs="宋体"/>
                <w:color w:val="auto"/>
                <w:sz w:val="18"/>
                <w:szCs w:val="18"/>
              </w:rPr>
              <w:t>门</w:t>
            </w:r>
            <w:r>
              <w:rPr>
                <w:rFonts w:hint="eastAsia" w:hAnsi="宋体" w:cs="宋体"/>
                <w:color w:val="auto"/>
                <w:sz w:val="18"/>
                <w:szCs w:val="18"/>
              </w:rPr>
              <w:t>和</w:t>
            </w:r>
            <w:r>
              <w:rPr>
                <w:rFonts w:hAnsi="宋体" w:cs="宋体"/>
                <w:color w:val="auto"/>
                <w:sz w:val="18"/>
                <w:szCs w:val="18"/>
              </w:rPr>
              <w:t>盖的密封试验</w:t>
            </w:r>
          </w:p>
        </w:tc>
        <w:tc>
          <w:tcPr>
            <w:tcW w:w="1605"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4.6</w:t>
            </w:r>
          </w:p>
        </w:tc>
        <w:tc>
          <w:tcPr>
            <w:tcW w:w="1440"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5.9</w:t>
            </w:r>
          </w:p>
        </w:tc>
        <w:tc>
          <w:tcPr>
            <w:tcW w:w="487" w:type="dxa"/>
            <w:vAlign w:val="center"/>
          </w:tcPr>
          <w:p>
            <w:pPr>
              <w:pStyle w:val="259"/>
              <w:numPr>
                <w:ilvl w:val="0"/>
                <w:numId w:val="0"/>
              </w:numPr>
              <w:tabs>
                <w:tab w:val="left" w:pos="850"/>
              </w:tabs>
              <w:spacing w:before="3"/>
              <w:jc w:val="center"/>
              <w:rPr>
                <w:rFonts w:hAnsi="宋体" w:cs="宋体"/>
                <w:color w:val="auto"/>
                <w:szCs w:val="18"/>
              </w:rPr>
            </w:pPr>
          </w:p>
        </w:tc>
        <w:tc>
          <w:tcPr>
            <w:tcW w:w="443" w:type="dxa"/>
            <w:vAlign w:val="center"/>
          </w:tcPr>
          <w:p>
            <w:pPr>
              <w:pStyle w:val="259"/>
              <w:numPr>
                <w:ilvl w:val="0"/>
                <w:numId w:val="0"/>
              </w:numPr>
              <w:tabs>
                <w:tab w:val="left" w:pos="850"/>
              </w:tabs>
              <w:spacing w:before="3"/>
              <w:jc w:val="center"/>
              <w:rPr>
                <w:rFonts w:hAnsi="宋体" w:cs="宋体"/>
                <w:color w:val="auto"/>
                <w:szCs w:val="18"/>
              </w:rPr>
            </w:pPr>
          </w:p>
        </w:tc>
        <w:tc>
          <w:tcPr>
            <w:tcW w:w="427"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w:t>
            </w: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9</w:t>
            </w:r>
          </w:p>
        </w:tc>
        <w:tc>
          <w:tcPr>
            <w:tcW w:w="3300"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制冷系统密封性能</w:t>
            </w:r>
          </w:p>
        </w:tc>
        <w:tc>
          <w:tcPr>
            <w:tcW w:w="1605"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4.7</w:t>
            </w:r>
          </w:p>
        </w:tc>
        <w:tc>
          <w:tcPr>
            <w:tcW w:w="1440"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5.10</w:t>
            </w:r>
          </w:p>
        </w:tc>
        <w:tc>
          <w:tcPr>
            <w:tcW w:w="487"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w:t>
            </w:r>
          </w:p>
        </w:tc>
        <w:tc>
          <w:tcPr>
            <w:tcW w:w="443" w:type="dxa"/>
            <w:vAlign w:val="center"/>
          </w:tcPr>
          <w:p>
            <w:pPr>
              <w:pStyle w:val="259"/>
              <w:numPr>
                <w:ilvl w:val="0"/>
                <w:numId w:val="0"/>
              </w:numPr>
              <w:tabs>
                <w:tab w:val="left" w:pos="850"/>
              </w:tabs>
              <w:spacing w:before="3"/>
              <w:jc w:val="center"/>
              <w:rPr>
                <w:rFonts w:hAnsi="宋体" w:cs="宋体"/>
                <w:color w:val="auto"/>
                <w:szCs w:val="18"/>
              </w:rPr>
            </w:pP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color w:val="FF0000"/>
                <w:szCs w:val="18"/>
              </w:rPr>
            </w:pPr>
            <w:r>
              <w:rPr>
                <w:rFonts w:hint="eastAsia" w:hAnsi="宋体" w:cs="宋体"/>
                <w:color w:val="FF0000"/>
                <w:sz w:val="18"/>
                <w:szCs w:val="18"/>
              </w:rPr>
              <w:t>10</w:t>
            </w:r>
          </w:p>
        </w:tc>
        <w:tc>
          <w:tcPr>
            <w:tcW w:w="3300" w:type="dxa"/>
            <w:vAlign w:val="center"/>
          </w:tcPr>
          <w:p>
            <w:pPr>
              <w:pStyle w:val="259"/>
              <w:numPr>
                <w:ilvl w:val="0"/>
                <w:numId w:val="0"/>
              </w:numPr>
              <w:tabs>
                <w:tab w:val="left" w:pos="850"/>
              </w:tabs>
              <w:spacing w:before="3"/>
              <w:jc w:val="center"/>
              <w:rPr>
                <w:rFonts w:hAnsi="宋体" w:cs="宋体"/>
                <w:color w:val="auto"/>
                <w:szCs w:val="18"/>
              </w:rPr>
            </w:pPr>
            <w:r>
              <w:rPr>
                <w:rFonts w:hAnsi="宋体" w:cs="宋体"/>
                <w:color w:val="auto"/>
                <w:szCs w:val="18"/>
              </w:rPr>
              <w:t>振动</w:t>
            </w:r>
          </w:p>
        </w:tc>
        <w:tc>
          <w:tcPr>
            <w:tcW w:w="1605"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4.7</w:t>
            </w:r>
          </w:p>
        </w:tc>
        <w:tc>
          <w:tcPr>
            <w:tcW w:w="1440"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5.11</w:t>
            </w:r>
          </w:p>
        </w:tc>
        <w:tc>
          <w:tcPr>
            <w:tcW w:w="487" w:type="dxa"/>
            <w:vAlign w:val="center"/>
          </w:tcPr>
          <w:p>
            <w:pPr>
              <w:pStyle w:val="259"/>
              <w:numPr>
                <w:ilvl w:val="0"/>
                <w:numId w:val="0"/>
              </w:numPr>
              <w:tabs>
                <w:tab w:val="left" w:pos="850"/>
              </w:tabs>
              <w:spacing w:before="3"/>
              <w:jc w:val="center"/>
              <w:rPr>
                <w:rFonts w:hAnsi="宋体" w:cs="宋体"/>
                <w:color w:val="auto"/>
                <w:szCs w:val="18"/>
              </w:rPr>
            </w:pPr>
          </w:p>
        </w:tc>
        <w:tc>
          <w:tcPr>
            <w:tcW w:w="443"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w:t>
            </w:r>
          </w:p>
        </w:tc>
        <w:tc>
          <w:tcPr>
            <w:tcW w:w="427" w:type="dxa"/>
            <w:vAlign w:val="center"/>
          </w:tcPr>
          <w:p>
            <w:pPr>
              <w:pStyle w:val="259"/>
              <w:numPr>
                <w:ilvl w:val="0"/>
                <w:numId w:val="0"/>
              </w:numPr>
              <w:tabs>
                <w:tab w:val="left" w:pos="850"/>
              </w:tabs>
              <w:spacing w:before="3"/>
              <w:jc w:val="center"/>
              <w:rPr>
                <w:rFonts w:hAnsi="宋体" w:cs="宋体"/>
                <w:color w:val="FF0000"/>
                <w:szCs w:val="18"/>
              </w:rPr>
            </w:pP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color w:val="FF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11</w:t>
            </w:r>
          </w:p>
        </w:tc>
        <w:tc>
          <w:tcPr>
            <w:tcW w:w="3300"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安全</w:t>
            </w:r>
          </w:p>
        </w:tc>
        <w:tc>
          <w:tcPr>
            <w:tcW w:w="1605"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4.8</w:t>
            </w:r>
          </w:p>
        </w:tc>
        <w:tc>
          <w:tcPr>
            <w:tcW w:w="1440"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5.12</w:t>
            </w:r>
          </w:p>
        </w:tc>
        <w:tc>
          <w:tcPr>
            <w:tcW w:w="487" w:type="dxa"/>
            <w:vAlign w:val="center"/>
          </w:tcPr>
          <w:p>
            <w:pPr>
              <w:pStyle w:val="259"/>
              <w:numPr>
                <w:ilvl w:val="0"/>
                <w:numId w:val="0"/>
              </w:numPr>
              <w:tabs>
                <w:tab w:val="left" w:pos="850"/>
              </w:tabs>
              <w:spacing w:before="3"/>
              <w:jc w:val="center"/>
              <w:rPr>
                <w:rFonts w:hAnsi="宋体" w:cs="宋体"/>
                <w:color w:val="auto"/>
                <w:szCs w:val="18"/>
              </w:rPr>
            </w:pPr>
          </w:p>
        </w:tc>
        <w:tc>
          <w:tcPr>
            <w:tcW w:w="443" w:type="dxa"/>
            <w:vAlign w:val="center"/>
          </w:tcPr>
          <w:p>
            <w:pPr>
              <w:pStyle w:val="259"/>
              <w:numPr>
                <w:ilvl w:val="0"/>
                <w:numId w:val="0"/>
              </w:numPr>
              <w:tabs>
                <w:tab w:val="left" w:pos="850"/>
              </w:tabs>
              <w:spacing w:before="3"/>
              <w:jc w:val="center"/>
              <w:rPr>
                <w:rFonts w:hAnsi="宋体" w:cs="宋体"/>
                <w:color w:val="auto"/>
                <w:szCs w:val="18"/>
              </w:rPr>
            </w:pP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12</w:t>
            </w:r>
          </w:p>
        </w:tc>
        <w:tc>
          <w:tcPr>
            <w:tcW w:w="3300"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电磁兼容</w:t>
            </w:r>
          </w:p>
        </w:tc>
        <w:tc>
          <w:tcPr>
            <w:tcW w:w="1605"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4.9</w:t>
            </w:r>
          </w:p>
        </w:tc>
        <w:tc>
          <w:tcPr>
            <w:tcW w:w="1440"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5.13</w:t>
            </w:r>
          </w:p>
        </w:tc>
        <w:tc>
          <w:tcPr>
            <w:tcW w:w="487"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w:t>
            </w:r>
          </w:p>
        </w:tc>
        <w:tc>
          <w:tcPr>
            <w:tcW w:w="443" w:type="dxa"/>
            <w:vAlign w:val="center"/>
          </w:tcPr>
          <w:p>
            <w:pPr>
              <w:pStyle w:val="259"/>
              <w:numPr>
                <w:ilvl w:val="0"/>
                <w:numId w:val="0"/>
              </w:numPr>
              <w:tabs>
                <w:tab w:val="left" w:pos="850"/>
              </w:tabs>
              <w:spacing w:before="3"/>
              <w:jc w:val="center"/>
              <w:rPr>
                <w:rFonts w:hAnsi="宋体" w:cs="宋体"/>
                <w:color w:val="auto"/>
                <w:szCs w:val="18"/>
              </w:rPr>
            </w:pP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13</w:t>
            </w:r>
          </w:p>
        </w:tc>
        <w:tc>
          <w:tcPr>
            <w:tcW w:w="3300"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限用物质</w:t>
            </w:r>
          </w:p>
        </w:tc>
        <w:tc>
          <w:tcPr>
            <w:tcW w:w="1605"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4.10</w:t>
            </w:r>
          </w:p>
        </w:tc>
        <w:tc>
          <w:tcPr>
            <w:tcW w:w="1440"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5.14</w:t>
            </w:r>
          </w:p>
        </w:tc>
        <w:tc>
          <w:tcPr>
            <w:tcW w:w="487"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w:t>
            </w:r>
          </w:p>
        </w:tc>
        <w:tc>
          <w:tcPr>
            <w:tcW w:w="443" w:type="dxa"/>
            <w:vAlign w:val="center"/>
          </w:tcPr>
          <w:p>
            <w:pPr>
              <w:pStyle w:val="259"/>
              <w:numPr>
                <w:ilvl w:val="0"/>
                <w:numId w:val="0"/>
              </w:numPr>
              <w:tabs>
                <w:tab w:val="left" w:pos="850"/>
              </w:tabs>
              <w:spacing w:before="3"/>
              <w:jc w:val="center"/>
              <w:rPr>
                <w:rFonts w:hAnsi="宋体" w:cs="宋体"/>
                <w:color w:val="auto"/>
                <w:szCs w:val="18"/>
              </w:rPr>
            </w:pP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14</w:t>
            </w:r>
          </w:p>
        </w:tc>
        <w:tc>
          <w:tcPr>
            <w:tcW w:w="3300"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食品接触材料安全</w:t>
            </w:r>
          </w:p>
        </w:tc>
        <w:tc>
          <w:tcPr>
            <w:tcW w:w="1605"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4.11</w:t>
            </w:r>
          </w:p>
        </w:tc>
        <w:tc>
          <w:tcPr>
            <w:tcW w:w="1440"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5.15</w:t>
            </w:r>
          </w:p>
        </w:tc>
        <w:tc>
          <w:tcPr>
            <w:tcW w:w="487"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w:t>
            </w:r>
          </w:p>
        </w:tc>
        <w:tc>
          <w:tcPr>
            <w:tcW w:w="443" w:type="dxa"/>
            <w:vAlign w:val="center"/>
          </w:tcPr>
          <w:p>
            <w:pPr>
              <w:pStyle w:val="259"/>
              <w:numPr>
                <w:ilvl w:val="0"/>
                <w:numId w:val="0"/>
              </w:numPr>
              <w:tabs>
                <w:tab w:val="left" w:pos="850"/>
              </w:tabs>
              <w:spacing w:before="3"/>
              <w:jc w:val="center"/>
              <w:rPr>
                <w:rFonts w:hAnsi="宋体" w:cs="宋体"/>
                <w:color w:val="auto"/>
                <w:szCs w:val="18"/>
              </w:rPr>
            </w:pP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15</w:t>
            </w:r>
          </w:p>
        </w:tc>
        <w:tc>
          <w:tcPr>
            <w:tcW w:w="3300"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制冷剂类型</w:t>
            </w:r>
          </w:p>
        </w:tc>
        <w:tc>
          <w:tcPr>
            <w:tcW w:w="1605"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4.12</w:t>
            </w:r>
          </w:p>
        </w:tc>
        <w:tc>
          <w:tcPr>
            <w:tcW w:w="1440"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5.16</w:t>
            </w:r>
          </w:p>
        </w:tc>
        <w:tc>
          <w:tcPr>
            <w:tcW w:w="487" w:type="dxa"/>
            <w:vAlign w:val="center"/>
          </w:tcPr>
          <w:p>
            <w:pPr>
              <w:pStyle w:val="259"/>
              <w:numPr>
                <w:ilvl w:val="0"/>
                <w:numId w:val="0"/>
              </w:numPr>
              <w:tabs>
                <w:tab w:val="left" w:pos="850"/>
              </w:tabs>
              <w:spacing w:before="3"/>
              <w:jc w:val="center"/>
              <w:rPr>
                <w:rFonts w:hAnsi="宋体" w:cs="宋体"/>
                <w:color w:val="auto"/>
                <w:szCs w:val="18"/>
              </w:rPr>
            </w:pPr>
          </w:p>
        </w:tc>
        <w:tc>
          <w:tcPr>
            <w:tcW w:w="443" w:type="dxa"/>
            <w:vAlign w:val="center"/>
          </w:tcPr>
          <w:p>
            <w:pPr>
              <w:pStyle w:val="259"/>
              <w:numPr>
                <w:ilvl w:val="0"/>
                <w:numId w:val="0"/>
              </w:numPr>
              <w:tabs>
                <w:tab w:val="left" w:pos="850"/>
              </w:tabs>
              <w:spacing w:before="3"/>
              <w:jc w:val="center"/>
              <w:rPr>
                <w:rFonts w:hAnsi="宋体" w:cs="宋体"/>
                <w:color w:val="auto"/>
                <w:szCs w:val="18"/>
              </w:rPr>
            </w:pPr>
            <w:r>
              <w:rPr>
                <w:rFonts w:hint="eastAsia" w:hAnsi="宋体" w:cs="宋体"/>
                <w:color w:val="auto"/>
                <w:sz w:val="18"/>
                <w:szCs w:val="18"/>
              </w:rPr>
              <w:t>√</w:t>
            </w: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16</w:t>
            </w:r>
          </w:p>
        </w:tc>
        <w:tc>
          <w:tcPr>
            <w:tcW w:w="330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抗菌</w:t>
            </w:r>
          </w:p>
        </w:tc>
        <w:tc>
          <w:tcPr>
            <w:tcW w:w="1605"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4.14</w:t>
            </w:r>
          </w:p>
        </w:tc>
        <w:tc>
          <w:tcPr>
            <w:tcW w:w="144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5.17</w:t>
            </w:r>
          </w:p>
        </w:tc>
        <w:tc>
          <w:tcPr>
            <w:tcW w:w="487" w:type="dxa"/>
            <w:vAlign w:val="center"/>
          </w:tcPr>
          <w:p>
            <w:pPr>
              <w:pStyle w:val="259"/>
              <w:numPr>
                <w:ilvl w:val="0"/>
                <w:numId w:val="0"/>
              </w:numPr>
              <w:tabs>
                <w:tab w:val="left" w:pos="850"/>
              </w:tabs>
              <w:spacing w:before="3"/>
              <w:jc w:val="center"/>
              <w:rPr>
                <w:rFonts w:hAnsi="宋体" w:cs="宋体"/>
                <w:szCs w:val="18"/>
              </w:rPr>
            </w:pPr>
          </w:p>
        </w:tc>
        <w:tc>
          <w:tcPr>
            <w:tcW w:w="443" w:type="dxa"/>
            <w:vAlign w:val="center"/>
          </w:tcPr>
          <w:p>
            <w:pPr>
              <w:numPr>
                <w:ilvl w:val="0"/>
                <w:numId w:val="0"/>
              </w:numPr>
              <w:tabs>
                <w:tab w:val="left" w:pos="850"/>
              </w:tabs>
              <w:spacing w:before="3"/>
              <w:jc w:val="center"/>
              <w:rPr>
                <w:rFonts w:hAnsi="宋体" w:cs="宋体"/>
                <w:szCs w:val="18"/>
              </w:rPr>
            </w:pPr>
            <w:r>
              <w:rPr>
                <w:rFonts w:hint="eastAsia" w:hAnsi="宋体" w:cs="宋体"/>
                <w:sz w:val="18"/>
                <w:szCs w:val="18"/>
              </w:rPr>
              <w:t>√</w:t>
            </w: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17</w:t>
            </w:r>
          </w:p>
        </w:tc>
        <w:tc>
          <w:tcPr>
            <w:tcW w:w="330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智能化功能</w:t>
            </w:r>
          </w:p>
        </w:tc>
        <w:tc>
          <w:tcPr>
            <w:tcW w:w="1605"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4.15</w:t>
            </w:r>
          </w:p>
        </w:tc>
        <w:tc>
          <w:tcPr>
            <w:tcW w:w="1440" w:type="dxa"/>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5.18</w:t>
            </w:r>
          </w:p>
        </w:tc>
        <w:tc>
          <w:tcPr>
            <w:tcW w:w="487" w:type="dxa"/>
            <w:vAlign w:val="center"/>
          </w:tcPr>
          <w:p>
            <w:pPr>
              <w:pStyle w:val="259"/>
              <w:numPr>
                <w:ilvl w:val="0"/>
                <w:numId w:val="0"/>
              </w:numPr>
              <w:tabs>
                <w:tab w:val="left" w:pos="850"/>
              </w:tabs>
              <w:spacing w:before="3"/>
              <w:jc w:val="center"/>
              <w:rPr>
                <w:rFonts w:hAnsi="宋体" w:cs="宋体"/>
                <w:szCs w:val="18"/>
              </w:rPr>
            </w:pPr>
          </w:p>
        </w:tc>
        <w:tc>
          <w:tcPr>
            <w:tcW w:w="443" w:type="dxa"/>
            <w:vAlign w:val="center"/>
          </w:tcPr>
          <w:p>
            <w:pPr>
              <w:numPr>
                <w:ilvl w:val="0"/>
                <w:numId w:val="0"/>
              </w:numPr>
              <w:tabs>
                <w:tab w:val="left" w:pos="850"/>
              </w:tabs>
              <w:spacing w:before="3"/>
              <w:jc w:val="center"/>
              <w:rPr>
                <w:rFonts w:hAnsi="宋体" w:cs="宋体"/>
                <w:szCs w:val="18"/>
              </w:rPr>
            </w:pPr>
            <w:r>
              <w:rPr>
                <w:rFonts w:hint="eastAsia" w:hAnsi="宋体" w:cs="宋体"/>
                <w:sz w:val="18"/>
                <w:szCs w:val="18"/>
              </w:rPr>
              <w:t>√</w:t>
            </w:r>
          </w:p>
        </w:tc>
        <w:tc>
          <w:tcPr>
            <w:tcW w:w="427" w:type="dxa"/>
            <w:vAlign w:val="center"/>
          </w:tcPr>
          <w:p>
            <w:pPr>
              <w:pStyle w:val="259"/>
              <w:numPr>
                <w:ilvl w:val="0"/>
                <w:numId w:val="0"/>
              </w:numPr>
              <w:tabs>
                <w:tab w:val="left" w:pos="850"/>
              </w:tabs>
              <w:spacing w:before="3"/>
              <w:jc w:val="center"/>
              <w:rPr>
                <w:rFonts w:hAnsi="宋体" w:cs="宋体"/>
                <w:szCs w:val="18"/>
              </w:rPr>
            </w:pPr>
          </w:p>
        </w:tc>
        <w:tc>
          <w:tcPr>
            <w:tcW w:w="992"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18</w:t>
            </w:r>
          </w:p>
        </w:tc>
        <w:tc>
          <w:tcPr>
            <w:tcW w:w="3300"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外观</w:t>
            </w:r>
          </w:p>
        </w:tc>
        <w:tc>
          <w:tcPr>
            <w:tcW w:w="1605"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4.16</w:t>
            </w:r>
          </w:p>
        </w:tc>
        <w:tc>
          <w:tcPr>
            <w:tcW w:w="1440"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5.19</w:t>
            </w:r>
          </w:p>
        </w:tc>
        <w:tc>
          <w:tcPr>
            <w:tcW w:w="487"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p>
        </w:tc>
        <w:tc>
          <w:tcPr>
            <w:tcW w:w="443"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p>
        </w:tc>
        <w:tc>
          <w:tcPr>
            <w:tcW w:w="427"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w:t>
            </w:r>
          </w:p>
        </w:tc>
        <w:tc>
          <w:tcPr>
            <w:tcW w:w="992" w:type="dxa"/>
            <w:tcBorders>
              <w:bottom w:val="single" w:color="auto" w:sz="12" w:space="0"/>
              <w:right w:val="single" w:color="auto" w:sz="12" w:space="0"/>
            </w:tcBorders>
            <w:vAlign w:val="center"/>
          </w:tcPr>
          <w:p>
            <w:pPr>
              <w:pStyle w:val="259"/>
              <w:numPr>
                <w:ilvl w:val="0"/>
                <w:numId w:val="0"/>
              </w:numPr>
              <w:tabs>
                <w:tab w:val="left" w:pos="850"/>
              </w:tabs>
              <w:spacing w:before="3"/>
              <w:jc w:val="center"/>
              <w:rPr>
                <w:rFonts w:hAnsi="宋体" w:cs="宋体"/>
                <w:szCs w:val="18"/>
              </w:rPr>
            </w:pPr>
          </w:p>
        </w:tc>
      </w:tr>
    </w:tbl>
    <w:p>
      <w:pPr>
        <w:pStyle w:val="131"/>
        <w:widowControl w:val="0"/>
      </w:pPr>
      <w:r>
        <w:rPr>
          <w:rFonts w:hint="eastAsia"/>
        </w:rPr>
        <w:t>型式检验抽样按GB/T 2829规定进行，采用判别水平</w:t>
      </w:r>
      <w:r>
        <w:rPr>
          <w:rFonts w:hint="eastAsia" w:cs="宋体"/>
        </w:rPr>
        <w:t>Ⅰ</w:t>
      </w:r>
      <w:r>
        <w:rPr>
          <w:rFonts w:hint="eastAsia"/>
        </w:rPr>
        <w:t>的一次抽样方案，样本大小和不合格质</w:t>
      </w:r>
    </w:p>
    <w:p>
      <w:pPr>
        <w:pStyle w:val="131"/>
        <w:widowControl w:val="0"/>
        <w:numPr>
          <w:ilvl w:val="2"/>
          <w:numId w:val="0"/>
        </w:numPr>
        <w:rPr>
          <w:rFonts w:hint="eastAsia"/>
        </w:rPr>
      </w:pPr>
      <w:r>
        <w:rPr>
          <w:rFonts w:hint="eastAsia"/>
        </w:rPr>
        <w:t>量水平按表</w:t>
      </w:r>
      <w:r>
        <w:rPr>
          <w:rFonts w:hint="eastAsia"/>
          <w:lang w:val="en-US" w:eastAsia="zh-CN"/>
        </w:rPr>
        <w:t>6</w:t>
      </w:r>
      <w:r>
        <w:rPr>
          <w:rFonts w:hint="eastAsia"/>
        </w:rPr>
        <w:t>的规定。</w:t>
      </w:r>
    </w:p>
    <w:p>
      <w:pPr>
        <w:pStyle w:val="208"/>
        <w:tabs>
          <w:tab w:val="left" w:pos="0"/>
        </w:tabs>
        <w:spacing w:before="156" w:after="156"/>
        <w:rPr>
          <w:w w:val="105"/>
        </w:rPr>
      </w:pPr>
      <w:r>
        <w:rPr>
          <w:rFonts w:hint="eastAsia"/>
          <w:w w:val="105"/>
        </w:rPr>
        <w:t>型式检验样本大小和</w:t>
      </w:r>
      <w:r>
        <w:rPr>
          <w:w w:val="105"/>
        </w:rPr>
        <w:t>不合格</w:t>
      </w:r>
      <w:r>
        <w:rPr>
          <w:rFonts w:hint="eastAsia"/>
          <w:w w:val="105"/>
        </w:rPr>
        <w:t>质量水平</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1"/>
        <w:gridCol w:w="1380"/>
        <w:gridCol w:w="1492"/>
        <w:gridCol w:w="893"/>
        <w:gridCol w:w="893"/>
        <w:gridCol w:w="893"/>
        <w:gridCol w:w="893"/>
        <w:gridCol w:w="893"/>
        <w:gridCol w:w="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Merge w:val="restart"/>
            <w:tcBorders>
              <w:top w:val="single" w:color="auto" w:sz="12" w:space="0"/>
              <w:lef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判别水平</w:t>
            </w:r>
          </w:p>
        </w:tc>
        <w:tc>
          <w:tcPr>
            <w:tcW w:w="1380" w:type="dxa"/>
            <w:vMerge w:val="restart"/>
            <w:tcBorders>
              <w:top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抽样方案</w:t>
            </w:r>
          </w:p>
        </w:tc>
        <w:tc>
          <w:tcPr>
            <w:tcW w:w="1492" w:type="dxa"/>
            <w:vMerge w:val="restart"/>
            <w:tcBorders>
              <w:top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样本大小</w:t>
            </w:r>
          </w:p>
        </w:tc>
        <w:tc>
          <w:tcPr>
            <w:tcW w:w="5358" w:type="dxa"/>
            <w:gridSpan w:val="6"/>
            <w:tcBorders>
              <w:top w:val="single" w:color="auto" w:sz="12" w:space="0"/>
              <w:right w:val="single" w:color="auto" w:sz="12" w:space="0"/>
            </w:tcBorders>
            <w:vAlign w:val="center"/>
          </w:tcPr>
          <w:p>
            <w:pPr>
              <w:numPr>
                <w:ilvl w:val="0"/>
                <w:numId w:val="0"/>
              </w:numPr>
              <w:tabs>
                <w:tab w:val="left" w:pos="850"/>
              </w:tabs>
              <w:jc w:val="center"/>
              <w:rPr>
                <w:rFonts w:hAnsi="宋体" w:cs="宋体"/>
                <w:szCs w:val="18"/>
              </w:rPr>
            </w:pPr>
            <w:r>
              <w:rPr>
                <w:rFonts w:hint="eastAsia" w:hAnsi="宋体" w:cs="宋体"/>
                <w:sz w:val="18"/>
                <w:szCs w:val="18"/>
              </w:rPr>
              <w:t>不合格质量水平（RQL)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51" w:type="dxa"/>
            <w:vMerge w:val="continue"/>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p>
        </w:tc>
        <w:tc>
          <w:tcPr>
            <w:tcW w:w="1380" w:type="dxa"/>
            <w:vMerge w:val="continue"/>
            <w:vAlign w:val="center"/>
          </w:tcPr>
          <w:p>
            <w:pPr>
              <w:pStyle w:val="259"/>
              <w:numPr>
                <w:ilvl w:val="0"/>
                <w:numId w:val="0"/>
              </w:numPr>
              <w:tabs>
                <w:tab w:val="left" w:pos="850"/>
              </w:tabs>
              <w:spacing w:before="3"/>
              <w:jc w:val="center"/>
              <w:rPr>
                <w:rFonts w:hAnsi="宋体" w:cs="宋体"/>
                <w:szCs w:val="18"/>
              </w:rPr>
            </w:pPr>
          </w:p>
        </w:tc>
        <w:tc>
          <w:tcPr>
            <w:tcW w:w="1492" w:type="dxa"/>
            <w:vMerge w:val="continue"/>
            <w:vAlign w:val="center"/>
          </w:tcPr>
          <w:p>
            <w:pPr>
              <w:pStyle w:val="259"/>
              <w:numPr>
                <w:ilvl w:val="0"/>
                <w:numId w:val="0"/>
              </w:numPr>
              <w:tabs>
                <w:tab w:val="left" w:pos="850"/>
              </w:tabs>
              <w:spacing w:before="3"/>
              <w:jc w:val="center"/>
              <w:rPr>
                <w:rFonts w:hAnsi="宋体" w:cs="宋体"/>
                <w:szCs w:val="18"/>
              </w:rPr>
            </w:pPr>
          </w:p>
        </w:tc>
        <w:tc>
          <w:tcPr>
            <w:tcW w:w="1786" w:type="dxa"/>
            <w:gridSpan w:val="2"/>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A类（RQL=30）</w:t>
            </w:r>
          </w:p>
        </w:tc>
        <w:tc>
          <w:tcPr>
            <w:tcW w:w="1786" w:type="dxa"/>
            <w:gridSpan w:val="2"/>
            <w:tcBorders>
              <w:top w:val="single" w:color="auto" w:sz="4"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B类（RQL=65）</w:t>
            </w:r>
          </w:p>
        </w:tc>
        <w:tc>
          <w:tcPr>
            <w:tcW w:w="1786" w:type="dxa"/>
            <w:gridSpan w:val="2"/>
            <w:tcBorders>
              <w:top w:val="single" w:color="auto" w:sz="4" w:space="0"/>
              <w:righ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C类（RQL=100）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51" w:type="dxa"/>
            <w:vMerge w:val="continue"/>
            <w:tcBorders>
              <w:left w:val="single" w:color="auto" w:sz="12" w:space="0"/>
            </w:tcBorders>
            <w:vAlign w:val="center"/>
          </w:tcPr>
          <w:p>
            <w:pPr>
              <w:pStyle w:val="259"/>
              <w:numPr>
                <w:ilvl w:val="0"/>
                <w:numId w:val="0"/>
              </w:numPr>
              <w:tabs>
                <w:tab w:val="left" w:pos="850"/>
              </w:tabs>
              <w:spacing w:before="3"/>
              <w:jc w:val="center"/>
              <w:rPr>
                <w:rFonts w:hAnsi="宋体" w:cs="宋体"/>
                <w:szCs w:val="18"/>
              </w:rPr>
            </w:pPr>
          </w:p>
        </w:tc>
        <w:tc>
          <w:tcPr>
            <w:tcW w:w="1380" w:type="dxa"/>
            <w:vMerge w:val="continue"/>
            <w:vAlign w:val="center"/>
          </w:tcPr>
          <w:p>
            <w:pPr>
              <w:pStyle w:val="259"/>
              <w:numPr>
                <w:ilvl w:val="0"/>
                <w:numId w:val="0"/>
              </w:numPr>
              <w:tabs>
                <w:tab w:val="left" w:pos="850"/>
              </w:tabs>
              <w:spacing w:before="3"/>
              <w:jc w:val="center"/>
              <w:rPr>
                <w:rFonts w:hAnsi="宋体" w:cs="宋体"/>
                <w:szCs w:val="18"/>
              </w:rPr>
            </w:pPr>
          </w:p>
        </w:tc>
        <w:tc>
          <w:tcPr>
            <w:tcW w:w="1492" w:type="dxa"/>
            <w:vMerge w:val="continue"/>
            <w:vAlign w:val="center"/>
          </w:tcPr>
          <w:p>
            <w:pPr>
              <w:pStyle w:val="259"/>
              <w:numPr>
                <w:ilvl w:val="0"/>
                <w:numId w:val="0"/>
              </w:numPr>
              <w:tabs>
                <w:tab w:val="left" w:pos="850"/>
              </w:tabs>
              <w:spacing w:before="3"/>
              <w:jc w:val="center"/>
              <w:rPr>
                <w:rFonts w:hAnsi="宋体" w:cs="宋体"/>
                <w:szCs w:val="18"/>
              </w:rPr>
            </w:pPr>
          </w:p>
        </w:tc>
        <w:tc>
          <w:tcPr>
            <w:tcW w:w="893" w:type="dxa"/>
            <w:vAlign w:val="center"/>
          </w:tcPr>
          <w:p>
            <w:pPr>
              <w:pStyle w:val="259"/>
              <w:numPr>
                <w:ilvl w:val="0"/>
                <w:numId w:val="0"/>
              </w:numPr>
              <w:tabs>
                <w:tab w:val="left" w:pos="850"/>
              </w:tabs>
              <w:spacing w:before="3"/>
              <w:jc w:val="center"/>
              <w:rPr>
                <w:rFonts w:hAnsi="宋体" w:cs="宋体"/>
                <w:szCs w:val="18"/>
              </w:rPr>
            </w:pPr>
            <w:r>
              <w:rPr>
                <w:rFonts w:hAnsi="宋体" w:cs="宋体"/>
                <w:i/>
                <w:iCs/>
                <w:sz w:val="18"/>
                <w:szCs w:val="18"/>
              </w:rPr>
              <w:t>A</w:t>
            </w:r>
            <w:r>
              <w:rPr>
                <w:rFonts w:hAnsi="宋体" w:cs="宋体"/>
                <w:sz w:val="18"/>
                <w:szCs w:val="18"/>
                <w:vertAlign w:val="subscript"/>
              </w:rPr>
              <w:t>c</w:t>
            </w:r>
          </w:p>
        </w:tc>
        <w:tc>
          <w:tcPr>
            <w:tcW w:w="893" w:type="dxa"/>
            <w:vAlign w:val="center"/>
          </w:tcPr>
          <w:p>
            <w:pPr>
              <w:pStyle w:val="259"/>
              <w:numPr>
                <w:ilvl w:val="0"/>
                <w:numId w:val="0"/>
              </w:numPr>
              <w:tabs>
                <w:tab w:val="left" w:pos="850"/>
              </w:tabs>
              <w:spacing w:before="3"/>
              <w:jc w:val="center"/>
              <w:rPr>
                <w:rFonts w:hAnsi="宋体" w:cs="宋体"/>
                <w:szCs w:val="18"/>
              </w:rPr>
            </w:pPr>
            <w:r>
              <w:rPr>
                <w:rFonts w:hAnsi="宋体" w:cs="宋体"/>
                <w:i/>
                <w:iCs/>
                <w:sz w:val="18"/>
                <w:szCs w:val="18"/>
              </w:rPr>
              <w:t>R</w:t>
            </w:r>
            <w:r>
              <w:rPr>
                <w:rFonts w:hAnsi="宋体" w:cs="宋体"/>
                <w:sz w:val="18"/>
                <w:szCs w:val="18"/>
                <w:vertAlign w:val="subscript"/>
              </w:rPr>
              <w:t>c</w:t>
            </w:r>
          </w:p>
        </w:tc>
        <w:tc>
          <w:tcPr>
            <w:tcW w:w="893" w:type="dxa"/>
            <w:vAlign w:val="center"/>
          </w:tcPr>
          <w:p>
            <w:pPr>
              <w:pStyle w:val="259"/>
              <w:numPr>
                <w:ilvl w:val="0"/>
                <w:numId w:val="0"/>
              </w:numPr>
              <w:tabs>
                <w:tab w:val="left" w:pos="850"/>
              </w:tabs>
              <w:spacing w:before="3"/>
              <w:jc w:val="center"/>
              <w:rPr>
                <w:rFonts w:hAnsi="宋体" w:cs="宋体"/>
                <w:szCs w:val="18"/>
              </w:rPr>
            </w:pPr>
            <w:r>
              <w:rPr>
                <w:rFonts w:hAnsi="宋体" w:cs="宋体"/>
                <w:i/>
                <w:iCs/>
                <w:sz w:val="18"/>
                <w:szCs w:val="18"/>
              </w:rPr>
              <w:t>A</w:t>
            </w:r>
            <w:r>
              <w:rPr>
                <w:rFonts w:hAnsi="宋体" w:cs="宋体"/>
                <w:sz w:val="18"/>
                <w:szCs w:val="18"/>
                <w:vertAlign w:val="subscript"/>
              </w:rPr>
              <w:t>c</w:t>
            </w:r>
          </w:p>
        </w:tc>
        <w:tc>
          <w:tcPr>
            <w:tcW w:w="893" w:type="dxa"/>
            <w:vAlign w:val="center"/>
          </w:tcPr>
          <w:p>
            <w:pPr>
              <w:pStyle w:val="259"/>
              <w:numPr>
                <w:ilvl w:val="0"/>
                <w:numId w:val="0"/>
              </w:numPr>
              <w:tabs>
                <w:tab w:val="left" w:pos="850"/>
              </w:tabs>
              <w:spacing w:before="3"/>
              <w:jc w:val="center"/>
              <w:rPr>
                <w:rFonts w:hAnsi="宋体" w:cs="宋体"/>
                <w:szCs w:val="18"/>
              </w:rPr>
            </w:pPr>
            <w:r>
              <w:rPr>
                <w:rFonts w:hAnsi="宋体" w:cs="宋体"/>
                <w:i/>
                <w:iCs/>
                <w:sz w:val="18"/>
                <w:szCs w:val="18"/>
              </w:rPr>
              <w:t>R</w:t>
            </w:r>
            <w:r>
              <w:rPr>
                <w:rFonts w:hAnsi="宋体" w:cs="宋体"/>
                <w:sz w:val="18"/>
                <w:szCs w:val="18"/>
                <w:vertAlign w:val="subscript"/>
              </w:rPr>
              <w:t>c</w:t>
            </w:r>
          </w:p>
        </w:tc>
        <w:tc>
          <w:tcPr>
            <w:tcW w:w="893" w:type="dxa"/>
            <w:vAlign w:val="center"/>
          </w:tcPr>
          <w:p>
            <w:pPr>
              <w:pStyle w:val="259"/>
              <w:numPr>
                <w:ilvl w:val="0"/>
                <w:numId w:val="0"/>
              </w:numPr>
              <w:tabs>
                <w:tab w:val="left" w:pos="850"/>
              </w:tabs>
              <w:spacing w:before="3"/>
              <w:jc w:val="center"/>
              <w:rPr>
                <w:rFonts w:hAnsi="宋体" w:cs="宋体"/>
                <w:szCs w:val="18"/>
              </w:rPr>
            </w:pPr>
            <w:r>
              <w:rPr>
                <w:rFonts w:hAnsi="宋体" w:cs="宋体"/>
                <w:i/>
                <w:iCs/>
                <w:sz w:val="18"/>
                <w:szCs w:val="18"/>
              </w:rPr>
              <w:t>A</w:t>
            </w:r>
            <w:r>
              <w:rPr>
                <w:rFonts w:hAnsi="宋体" w:cs="宋体"/>
                <w:sz w:val="18"/>
                <w:szCs w:val="18"/>
                <w:vertAlign w:val="subscript"/>
              </w:rPr>
              <w:t>c</w:t>
            </w:r>
          </w:p>
        </w:tc>
        <w:tc>
          <w:tcPr>
            <w:tcW w:w="893" w:type="dxa"/>
            <w:tcBorders>
              <w:righ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Ansi="宋体" w:cs="宋体"/>
                <w:i/>
                <w:iCs/>
                <w:sz w:val="18"/>
                <w:szCs w:val="18"/>
              </w:rPr>
              <w:t>R</w:t>
            </w:r>
            <w:r>
              <w:rPr>
                <w:rFonts w:hAnsi="宋体" w:cs="宋体"/>
                <w:sz w:val="18"/>
                <w:szCs w:val="18"/>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51" w:type="dxa"/>
            <w:tcBorders>
              <w:left w:val="single" w:color="auto" w:sz="12" w:space="0"/>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Ⅰ</w:t>
            </w:r>
          </w:p>
        </w:tc>
        <w:tc>
          <w:tcPr>
            <w:tcW w:w="1380"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int="eastAsia" w:hAnsi="宋体" w:cs="宋体"/>
                <w:sz w:val="18"/>
                <w:szCs w:val="18"/>
              </w:rPr>
              <w:t>一次</w:t>
            </w:r>
          </w:p>
        </w:tc>
        <w:tc>
          <w:tcPr>
            <w:tcW w:w="1492"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Ansi="宋体" w:cs="宋体"/>
                <w:i/>
                <w:iCs/>
                <w:sz w:val="18"/>
                <w:szCs w:val="18"/>
              </w:rPr>
              <w:t>n</w:t>
            </w:r>
            <w:r>
              <w:rPr>
                <w:rFonts w:hAnsi="宋体" w:cs="宋体"/>
                <w:sz w:val="18"/>
                <w:szCs w:val="18"/>
              </w:rPr>
              <w:t>=3</w:t>
            </w:r>
          </w:p>
        </w:tc>
        <w:tc>
          <w:tcPr>
            <w:tcW w:w="893"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Ansi="宋体" w:cs="宋体"/>
                <w:sz w:val="18"/>
                <w:szCs w:val="18"/>
              </w:rPr>
              <w:t>0</w:t>
            </w:r>
          </w:p>
        </w:tc>
        <w:tc>
          <w:tcPr>
            <w:tcW w:w="893"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Ansi="宋体" w:cs="宋体"/>
                <w:sz w:val="18"/>
                <w:szCs w:val="18"/>
              </w:rPr>
              <w:t>1</w:t>
            </w:r>
          </w:p>
        </w:tc>
        <w:tc>
          <w:tcPr>
            <w:tcW w:w="893"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Ansi="宋体" w:cs="宋体"/>
                <w:sz w:val="18"/>
                <w:szCs w:val="18"/>
              </w:rPr>
              <w:t>1</w:t>
            </w:r>
          </w:p>
        </w:tc>
        <w:tc>
          <w:tcPr>
            <w:tcW w:w="893"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Ansi="宋体" w:cs="宋体"/>
                <w:sz w:val="18"/>
                <w:szCs w:val="18"/>
              </w:rPr>
              <w:t>2</w:t>
            </w:r>
          </w:p>
        </w:tc>
        <w:tc>
          <w:tcPr>
            <w:tcW w:w="893" w:type="dxa"/>
            <w:tcBorders>
              <w:bottom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Ansi="宋体" w:cs="宋体"/>
                <w:sz w:val="18"/>
                <w:szCs w:val="18"/>
              </w:rPr>
              <w:t>2</w:t>
            </w:r>
          </w:p>
        </w:tc>
        <w:tc>
          <w:tcPr>
            <w:tcW w:w="893" w:type="dxa"/>
            <w:tcBorders>
              <w:bottom w:val="single" w:color="auto" w:sz="12" w:space="0"/>
              <w:right w:val="single" w:color="auto" w:sz="12" w:space="0"/>
            </w:tcBorders>
            <w:vAlign w:val="center"/>
          </w:tcPr>
          <w:p>
            <w:pPr>
              <w:pStyle w:val="259"/>
              <w:numPr>
                <w:ilvl w:val="0"/>
                <w:numId w:val="0"/>
              </w:numPr>
              <w:tabs>
                <w:tab w:val="left" w:pos="850"/>
              </w:tabs>
              <w:spacing w:before="3"/>
              <w:jc w:val="center"/>
              <w:rPr>
                <w:rFonts w:hAnsi="宋体" w:cs="宋体"/>
                <w:szCs w:val="18"/>
              </w:rPr>
            </w:pPr>
            <w:r>
              <w:rPr>
                <w:rFonts w:hAnsi="宋体" w:cs="宋体"/>
                <w:sz w:val="18"/>
                <w:szCs w:val="18"/>
              </w:rPr>
              <w:t>3</w:t>
            </w:r>
          </w:p>
        </w:tc>
      </w:tr>
    </w:tbl>
    <w:p>
      <w:pPr>
        <w:pStyle w:val="131"/>
        <w:widowControl w:val="0"/>
      </w:pPr>
      <w:r>
        <w:rPr>
          <w:rFonts w:hint="eastAsia"/>
        </w:rPr>
        <w:t>型式检验的样本应从出厂检验合格的成品中随机抽取。</w:t>
      </w:r>
    </w:p>
    <w:p>
      <w:pPr>
        <w:pStyle w:val="131"/>
        <w:widowControl w:val="0"/>
      </w:pPr>
      <w:r>
        <w:rPr>
          <w:rFonts w:hint="eastAsia"/>
        </w:rPr>
        <w:t>致命缺陷项目应100%合格，若出现一项不合格，即判该次型式检验不合格。</w:t>
      </w:r>
    </w:p>
    <w:p>
      <w:pPr>
        <w:pStyle w:val="131"/>
        <w:widowControl w:val="0"/>
      </w:pPr>
      <w:r>
        <w:rPr>
          <w:rFonts w:hint="eastAsia"/>
        </w:rPr>
        <w:t>型式检验的样品一律不能作为合格品交与订货方。</w:t>
      </w:r>
    </w:p>
    <w:p>
      <w:pPr>
        <w:pStyle w:val="117"/>
        <w:spacing w:before="312" w:after="312"/>
        <w:rPr>
          <w:rFonts w:hAnsi="黑体" w:cs="Times New Roman"/>
        </w:rPr>
      </w:pPr>
      <w:r>
        <w:rPr>
          <w:rFonts w:hAnsi="黑体" w:cs="Times New Roman"/>
        </w:rPr>
        <w:t>标志、</w:t>
      </w:r>
      <w:r>
        <w:rPr>
          <w:rFonts w:hint="eastAsia" w:hAnsi="黑体" w:cs="Times New Roman"/>
          <w:lang w:eastAsia="zh-CN"/>
        </w:rPr>
        <w:t>产品说明、</w:t>
      </w:r>
      <w:r>
        <w:rPr>
          <w:rFonts w:hAnsi="黑体" w:cs="Times New Roman"/>
        </w:rPr>
        <w:t>包装、运输和贮存</w:t>
      </w:r>
    </w:p>
    <w:p>
      <w:pPr>
        <w:pStyle w:val="119"/>
        <w:spacing w:before="156" w:after="156"/>
        <w:rPr>
          <w:rFonts w:hAnsi="黑体"/>
          <w:w w:val="105"/>
        </w:rPr>
      </w:pPr>
      <w:r>
        <w:rPr>
          <w:rFonts w:hAnsi="黑体"/>
          <w:w w:val="105"/>
        </w:rPr>
        <w:t>标志</w:t>
      </w:r>
    </w:p>
    <w:p>
      <w:pPr>
        <w:ind w:firstLine="420" w:firstLineChars="200"/>
      </w:pPr>
      <w:r>
        <w:rPr>
          <w:rFonts w:hint="eastAsia"/>
        </w:rPr>
        <w:t>按SB/T 10794.2—2012中7.2的规定进行。</w:t>
      </w:r>
    </w:p>
    <w:p>
      <w:pPr>
        <w:pStyle w:val="119"/>
        <w:spacing w:before="156" w:after="156"/>
        <w:rPr>
          <w:rFonts w:hAnsi="黑体"/>
          <w:w w:val="105"/>
        </w:rPr>
      </w:pPr>
      <w:r>
        <w:rPr>
          <w:rFonts w:hint="eastAsia" w:hAnsi="黑体"/>
          <w:w w:val="105"/>
          <w:lang w:eastAsia="zh-CN"/>
        </w:rPr>
        <w:t>产品说明</w:t>
      </w:r>
    </w:p>
    <w:p>
      <w:pPr>
        <w:pStyle w:val="23"/>
        <w:rPr>
          <w:rFonts w:hint="default" w:eastAsia="宋体"/>
          <w:lang w:val="en-US" w:eastAsia="zh-CN"/>
        </w:rPr>
      </w:pPr>
      <w:r>
        <w:rPr>
          <w:rFonts w:hint="eastAsia"/>
        </w:rPr>
        <w:t>按SB/T 10794.2—2012中 7.</w:t>
      </w:r>
      <w:r>
        <w:rPr>
          <w:rFonts w:hint="eastAsia"/>
          <w:lang w:val="en-US" w:eastAsia="zh-CN"/>
        </w:rPr>
        <w:t>3</w:t>
      </w:r>
      <w:r>
        <w:rPr>
          <w:rFonts w:hint="eastAsia"/>
        </w:rPr>
        <w:t>的规定进行</w:t>
      </w:r>
      <w:r>
        <w:rPr>
          <w:rFonts w:hint="eastAsia"/>
          <w:lang w:val="en-US" w:eastAsia="zh-CN"/>
        </w:rPr>
        <w:t>。</w:t>
      </w:r>
    </w:p>
    <w:p>
      <w:pPr>
        <w:pStyle w:val="119"/>
        <w:spacing w:before="156" w:after="156"/>
        <w:rPr>
          <w:rFonts w:hAnsi="黑体"/>
          <w:w w:val="105"/>
        </w:rPr>
      </w:pPr>
      <w:r>
        <w:rPr>
          <w:rFonts w:hAnsi="黑体"/>
          <w:w w:val="105"/>
        </w:rPr>
        <w:t>包装</w:t>
      </w:r>
    </w:p>
    <w:p>
      <w:pPr>
        <w:ind w:firstLine="420" w:firstLineChars="200"/>
      </w:pPr>
      <w:r>
        <w:rPr>
          <w:rFonts w:hint="eastAsia"/>
        </w:rPr>
        <w:t>按SB/T 10794.2—2012中 7.4的规定进行。</w:t>
      </w:r>
    </w:p>
    <w:p>
      <w:pPr>
        <w:pStyle w:val="119"/>
        <w:spacing w:before="156" w:after="156"/>
        <w:rPr>
          <w:rFonts w:hAnsi="黑体"/>
          <w:w w:val="105"/>
        </w:rPr>
      </w:pPr>
      <w:r>
        <w:rPr>
          <w:rFonts w:hAnsi="黑体"/>
          <w:w w:val="105"/>
        </w:rPr>
        <w:t>运输和贮存</w:t>
      </w:r>
    </w:p>
    <w:p>
      <w:pPr>
        <w:ind w:firstLine="420" w:firstLineChars="200"/>
      </w:pPr>
      <w:r>
        <w:rPr>
          <w:rFonts w:hint="eastAsia"/>
        </w:rPr>
        <w:t>按SB/T 10794.2—2012中 7.5的规定进行。</w:t>
      </w:r>
    </w:p>
    <w:bookmarkEnd w:id="5"/>
    <w:p>
      <w:pPr>
        <w:pStyle w:val="117"/>
        <w:spacing w:before="312" w:after="312"/>
      </w:pPr>
      <w:r>
        <w:rPr>
          <w:rFonts w:hint="eastAsia"/>
        </w:rPr>
        <w:t>质量承诺</w:t>
      </w:r>
    </w:p>
    <w:p>
      <w:pPr>
        <w:pStyle w:val="119"/>
        <w:numPr>
          <w:ilvl w:val="1"/>
          <w:numId w:val="2"/>
        </w:numPr>
        <w:spacing w:beforeLines="0" w:afterLines="0"/>
        <w:rPr>
          <w:rFonts w:ascii="宋体" w:hAnsi="宋体" w:eastAsia="宋体" w:cs="宋体"/>
        </w:rPr>
      </w:pPr>
      <w:r>
        <w:rPr>
          <w:rFonts w:hint="eastAsia" w:ascii="宋体" w:hAnsi="宋体" w:eastAsia="宋体" w:cs="宋体"/>
        </w:rPr>
        <w:t>用户在遵守商用冷柜使用说明书规定的操作条件下，自购买激光加工中心之日起，商用冷柜质保期12个月。质保期间若因质量问题造成商用冷柜故障的，制造商应负责免费更换。</w:t>
      </w:r>
    </w:p>
    <w:p>
      <w:pPr>
        <w:pStyle w:val="119"/>
        <w:numPr>
          <w:ilvl w:val="1"/>
          <w:numId w:val="2"/>
        </w:numPr>
        <w:spacing w:beforeLines="0" w:afterLines="0"/>
        <w:jc w:val="left"/>
        <w:rPr>
          <w:rFonts w:ascii="宋体" w:hAnsi="宋体" w:eastAsia="宋体" w:cs="宋体"/>
        </w:rPr>
      </w:pPr>
      <w:r>
        <w:rPr>
          <w:rFonts w:hint="eastAsia" w:ascii="宋体" w:hAnsi="宋体" w:eastAsia="宋体" w:cs="宋体"/>
        </w:rPr>
        <w:t>如因操作不当或外部不可抗拒的因素所造成的非质量问题导致商用冷柜故障，或超过保修期的，制造商应提供售后服务。</w:t>
      </w:r>
    </w:p>
    <w:p>
      <w:pPr>
        <w:pStyle w:val="119"/>
        <w:numPr>
          <w:ilvl w:val="1"/>
          <w:numId w:val="2"/>
        </w:numPr>
        <w:spacing w:beforeLines="0" w:afterLines="0"/>
        <w:jc w:val="left"/>
        <w:rPr>
          <w:rFonts w:ascii="宋体" w:hAnsi="宋体" w:eastAsia="宋体" w:cs="宋体"/>
        </w:rPr>
      </w:pPr>
      <w:r>
        <w:rPr>
          <w:rFonts w:hint="eastAsia" w:ascii="宋体" w:hAnsi="宋体" w:eastAsia="宋体" w:cs="宋体"/>
        </w:rPr>
        <w:t>对客户反馈在24 h内做出响应。</w:t>
      </w:r>
    </w:p>
    <w:p>
      <w:pPr>
        <w:pStyle w:val="23"/>
        <w:ind w:firstLine="197" w:firstLineChars="94"/>
        <w:jc w:val="center"/>
        <w:rPr>
          <w:color w:val="0070C0"/>
        </w:rPr>
      </w:pPr>
      <w:bookmarkStart w:id="7" w:name="BookMark8"/>
      <w:r>
        <w:drawing>
          <wp:inline distT="0" distB="0" distL="0" distR="0">
            <wp:extent cx="1485900" cy="317500"/>
            <wp:effectExtent l="0" t="0" r="0" b="6350"/>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
    </w:p>
    <w:sectPr>
      <w:pgSz w:w="11906" w:h="16838"/>
      <w:pgMar w:top="2409" w:right="1134" w:bottom="1134" w:left="1134" w:header="1417" w:footer="1134" w:gutter="283"/>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T/FSS XX—2024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864FBB"/>
    <w:multiLevelType w:val="multilevel"/>
    <w:tmpl w:val="E9864FBB"/>
    <w:lvl w:ilvl="0" w:tentative="0">
      <w:start w:val="1"/>
      <w:numFmt w:val="decimal"/>
      <w:pStyle w:val="235"/>
      <w:suff w:val="nothing"/>
      <w:lvlText w:val="[%1]  "/>
      <w:lvlJc w:val="left"/>
      <w:pPr>
        <w:ind w:left="0" w:firstLine="363"/>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
    <w:nsid w:val="17444CF9"/>
    <w:multiLevelType w:val="multilevel"/>
    <w:tmpl w:val="17444CF9"/>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lvlText w:val="%10.%2.%3.%4.%5 "/>
      <w:lvlJc w:val="left"/>
      <w:pPr>
        <w:ind w:left="198" w:firstLine="0"/>
      </w:pPr>
      <w:rPr>
        <w:rFonts w:hint="eastAsia" w:ascii="黑体" w:hAnsi="黑体" w:eastAsia="黑体"/>
        <w:sz w:val="20"/>
      </w:rPr>
    </w:lvl>
    <w:lvl w:ilvl="5" w:tentative="0">
      <w:start w:val="1"/>
      <w:numFmt w:val="decimal"/>
      <w:pStyle w:val="105"/>
      <w:lvlText w:val="%10.%2.%3.%4.%5.%6 "/>
      <w:lvlJc w:val="left"/>
      <w:pPr>
        <w:ind w:left="198" w:firstLine="0"/>
      </w:pPr>
      <w:rPr>
        <w:rFonts w:hint="eastAsia" w:ascii="黑体" w:hAnsi="黑体" w:eastAsia="黑体"/>
        <w:sz w:val="20"/>
      </w:r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2">
    <w:nsid w:val="19CB36CB"/>
    <w:multiLevelType w:val="multilevel"/>
    <w:tmpl w:val="19CB36CB"/>
    <w:lvl w:ilvl="0" w:tentative="0">
      <w:start w:val="1"/>
      <w:numFmt w:val="decimal"/>
      <w:pStyle w:val="250"/>
      <w:suff w:val="nothing"/>
      <w:lvlText w:val="%1　"/>
      <w:lvlJc w:val="left"/>
      <w:pPr>
        <w:ind w:left="0" w:firstLine="0"/>
      </w:pPr>
      <w:rPr>
        <w:rFonts w:hint="eastAsia" w:ascii="黑体" w:hAnsi="黑体" w:eastAsia="黑体"/>
        <w:sz w:val="20"/>
      </w:rPr>
    </w:lvl>
    <w:lvl w:ilvl="1" w:tentative="0">
      <w:start w:val="1"/>
      <w:numFmt w:val="decimal"/>
      <w:suff w:val="nothing"/>
      <w:lvlText w:val="%1.%2　"/>
      <w:lvlJc w:val="left"/>
      <w:pPr>
        <w:ind w:left="0" w:firstLine="0"/>
      </w:pPr>
      <w:rPr>
        <w:rFonts w:hint="eastAsia" w:ascii="黑体" w:hAnsi="黑体" w:eastAsia="黑体"/>
        <w:sz w:val="20"/>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
    <w:nsid w:val="1B01361B"/>
    <w:multiLevelType w:val="multilevel"/>
    <w:tmpl w:val="1B01361B"/>
    <w:lvl w:ilvl="0" w:tentative="0">
      <w:start w:val="1"/>
      <w:numFmt w:val="none"/>
      <w:lvlText w:val="%1——"/>
      <w:lvlJc w:val="left"/>
      <w:pPr>
        <w:ind w:left="1270" w:hanging="425"/>
      </w:pPr>
      <w:rPr>
        <w:rFonts w:ascii="Times New Roman" w:hAnsi="Times New Roman" w:cs="Times New Roman"/>
        <w:sz w:val="20"/>
      </w:rPr>
    </w:lvl>
    <w:lvl w:ilvl="1" w:tentative="0">
      <w:start w:val="1"/>
      <w:numFmt w:val="bullet"/>
      <w:lvlText w:val=""/>
      <w:lvlJc w:val="left"/>
      <w:pPr>
        <w:tabs>
          <w:tab w:val="left" w:pos="1185"/>
        </w:tabs>
        <w:ind w:left="1689" w:hanging="414"/>
      </w:pPr>
      <w:rPr>
        <w:rFonts w:hint="default" w:ascii="Symbol" w:hAnsi="Symbol"/>
        <w:color w:val="auto"/>
      </w:rPr>
    </w:lvl>
    <w:lvl w:ilvl="2" w:tentative="0">
      <w:start w:val="1"/>
      <w:numFmt w:val="bullet"/>
      <w:pStyle w:val="91"/>
      <w:lvlText w:val=""/>
      <w:lvlJc w:val="left"/>
      <w:pPr>
        <w:tabs>
          <w:tab w:val="left" w:pos="2103"/>
        </w:tabs>
        <w:ind w:left="2103" w:hanging="414"/>
      </w:pPr>
      <w:rPr>
        <w:rFonts w:hint="default" w:ascii="Symbol" w:hAnsi="Symbol"/>
        <w:color w:val="auto"/>
      </w:rPr>
    </w:lvl>
    <w:lvl w:ilvl="3" w:tentative="0">
      <w:start w:val="1"/>
      <w:numFmt w:val="lowerLetter"/>
      <w:lvlText w:val="%4."/>
      <w:lvlJc w:val="left"/>
      <w:pPr>
        <w:ind w:left="1984" w:hanging="283"/>
      </w:pPr>
    </w:lvl>
    <w:lvl w:ilvl="4" w:tentative="0">
      <w:start w:val="1"/>
      <w:numFmt w:val="decimal"/>
      <w:lvlText w:val="%5."/>
      <w:lvlJc w:val="left"/>
      <w:pPr>
        <w:ind w:left="2409" w:hanging="425"/>
      </w:pPr>
    </w:lvl>
    <w:lvl w:ilvl="5" w:tentative="0">
      <w:start w:val="1"/>
      <w:numFmt w:val="lowerLetter"/>
      <w:lvlText w:val="%6."/>
      <w:lvlJc w:val="left"/>
      <w:pPr>
        <w:ind w:left="2834" w:hanging="425"/>
      </w:pPr>
    </w:lvl>
    <w:lvl w:ilvl="6" w:tentative="0">
      <w:start w:val="1"/>
      <w:numFmt w:val="lowerRoman"/>
      <w:lvlText w:val="%7."/>
      <w:lvlJc w:val="left"/>
      <w:pPr>
        <w:ind w:left="3260" w:hanging="426"/>
      </w:pPr>
    </w:lvl>
    <w:lvl w:ilvl="7" w:tentative="0">
      <w:start w:val="1"/>
      <w:numFmt w:val="lowerLetter"/>
      <w:lvlText w:val="%8."/>
      <w:lvlJc w:val="left"/>
      <w:pPr>
        <w:ind w:left="3685" w:hanging="425"/>
      </w:pPr>
    </w:lvl>
    <w:lvl w:ilvl="8" w:tentative="0">
      <w:start w:val="1"/>
      <w:numFmt w:val="lowerRoman"/>
      <w:lvlText w:val="%9."/>
      <w:lvlJc w:val="left"/>
      <w:pPr>
        <w:ind w:left="4110" w:hanging="425"/>
      </w:pPr>
    </w:lvl>
  </w:abstractNum>
  <w:abstractNum w:abstractNumId="4">
    <w:nsid w:val="1FC91163"/>
    <w:multiLevelType w:val="multilevel"/>
    <w:tmpl w:val="1FC91163"/>
    <w:lvl w:ilvl="0" w:tentative="0">
      <w:start w:val="1"/>
      <w:numFmt w:val="decimal"/>
      <w:pStyle w:val="24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41"/>
      <w:suff w:val="nothing"/>
      <w:lvlText w:val="%1.%2.%3　"/>
      <w:lvlJc w:val="left"/>
      <w:pPr>
        <w:ind w:left="0" w:firstLine="0"/>
      </w:pPr>
      <w:rPr>
        <w:rFonts w:hint="eastAsia" w:ascii="黑体" w:hAnsi="Times New Roman" w:eastAsia="黑体"/>
        <w:b w:val="0"/>
        <w:i w:val="0"/>
        <w:sz w:val="21"/>
      </w:rPr>
    </w:lvl>
    <w:lvl w:ilvl="3" w:tentative="0">
      <w:start w:val="1"/>
      <w:numFmt w:val="decimal"/>
      <w:pStyle w:val="242"/>
      <w:suff w:val="nothing"/>
      <w:lvlText w:val="%1.%2.%3.%4　"/>
      <w:lvlJc w:val="left"/>
      <w:pPr>
        <w:ind w:left="2940" w:firstLine="0"/>
      </w:pPr>
      <w:rPr>
        <w:rFonts w:hint="eastAsia" w:ascii="黑体" w:hAnsi="Times New Roman" w:eastAsia="黑体"/>
        <w:b w:val="0"/>
        <w:i w:val="0"/>
        <w:sz w:val="21"/>
      </w:rPr>
    </w:lvl>
    <w:lvl w:ilvl="4" w:tentative="0">
      <w:start w:val="1"/>
      <w:numFmt w:val="decimal"/>
      <w:pStyle w:val="244"/>
      <w:suff w:val="nothing"/>
      <w:lvlText w:val="%1.%2.%3.%4.%5　"/>
      <w:lvlJc w:val="left"/>
      <w:pPr>
        <w:ind w:left="0" w:firstLine="0"/>
      </w:pPr>
      <w:rPr>
        <w:rFonts w:hint="eastAsia" w:ascii="黑体" w:hAnsi="Times New Roman" w:eastAsia="黑体"/>
        <w:b w:val="0"/>
        <w:i w:val="0"/>
        <w:sz w:val="21"/>
      </w:rPr>
    </w:lvl>
    <w:lvl w:ilvl="5" w:tentative="0">
      <w:start w:val="1"/>
      <w:numFmt w:val="decimal"/>
      <w:pStyle w:val="24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1A61BEF"/>
    <w:multiLevelType w:val="multilevel"/>
    <w:tmpl w:val="21A61BEF"/>
    <w:lvl w:ilvl="0" w:tentative="0">
      <w:start w:val="1"/>
      <w:numFmt w:val="upperLetter"/>
      <w:pStyle w:val="149"/>
      <w:suff w:val="nothing"/>
      <w:lvlText w:val="附录%1"/>
      <w:lvlJc w:val="left"/>
      <w:pPr>
        <w:ind w:left="0" w:firstLine="0"/>
      </w:pPr>
      <w:rPr>
        <w:spacing w:val="102"/>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21B55B4C"/>
    <w:multiLevelType w:val="multilevel"/>
    <w:tmpl w:val="21B55B4C"/>
    <w:lvl w:ilvl="0" w:tentative="0">
      <w:start w:val="1"/>
      <w:numFmt w:val="decimal"/>
      <w:pStyle w:val="195"/>
      <w:suff w:val="nothing"/>
      <w:lvlText w:val="注%1："/>
      <w:lvlJc w:val="left"/>
      <w:pPr>
        <w:ind w:left="811" w:hanging="448"/>
      </w:pPr>
      <w:rPr>
        <w:rFonts w:hint="eastAsia" w:ascii="黑体" w:hAnsi="黑体" w:eastAsia="黑体"/>
        <w:sz w:val="18"/>
        <w:vertAlign w:val="baseline"/>
      </w:rPr>
    </w:lvl>
    <w:lvl w:ilvl="1" w:tentative="0">
      <w:start w:val="1"/>
      <w:numFmt w:val="decimalZero"/>
      <w:isLgl/>
      <w:lvlText w:val="节 %1.%2"/>
      <w:lvlJc w:val="left"/>
      <w:pPr>
        <w:ind w:left="363" w:firstLine="0"/>
      </w:pPr>
    </w:lvl>
    <w:lvl w:ilvl="2" w:tentative="0">
      <w:start w:val="1"/>
      <w:numFmt w:val="lowerLetter"/>
      <w:lvlText w:val="(%3)"/>
      <w:lvlJc w:val="left"/>
      <w:pPr>
        <w:ind w:left="1083" w:hanging="432"/>
      </w:pPr>
    </w:lvl>
    <w:lvl w:ilvl="3" w:tentative="0">
      <w:start w:val="1"/>
      <w:numFmt w:val="lowerRoman"/>
      <w:lvlText w:val="(%4)"/>
      <w:lvlJc w:val="right"/>
      <w:pPr>
        <w:ind w:left="1227" w:hanging="144"/>
      </w:pPr>
    </w:lvl>
    <w:lvl w:ilvl="4" w:tentative="0">
      <w:start w:val="1"/>
      <w:numFmt w:val="decimal"/>
      <w:lvlText w:val="%5)"/>
      <w:lvlJc w:val="left"/>
      <w:pPr>
        <w:ind w:left="1371" w:hanging="432"/>
      </w:pPr>
    </w:lvl>
    <w:lvl w:ilvl="5" w:tentative="0">
      <w:start w:val="1"/>
      <w:numFmt w:val="lowerLetter"/>
      <w:lvlText w:val="%6)"/>
      <w:lvlJc w:val="left"/>
      <w:pPr>
        <w:ind w:left="1515" w:hanging="432"/>
      </w:pPr>
    </w:lvl>
    <w:lvl w:ilvl="6" w:tentative="0">
      <w:start w:val="1"/>
      <w:numFmt w:val="lowerRoman"/>
      <w:lvlText w:val="%7)"/>
      <w:lvlJc w:val="right"/>
      <w:pPr>
        <w:ind w:left="1659" w:hanging="288"/>
      </w:pPr>
    </w:lvl>
    <w:lvl w:ilvl="7" w:tentative="0">
      <w:start w:val="1"/>
      <w:numFmt w:val="lowerLetter"/>
      <w:lvlText w:val="%8."/>
      <w:lvlJc w:val="left"/>
      <w:pPr>
        <w:ind w:left="1803" w:hanging="432"/>
      </w:pPr>
    </w:lvl>
    <w:lvl w:ilvl="8" w:tentative="0">
      <w:start w:val="1"/>
      <w:numFmt w:val="lowerRoman"/>
      <w:lvlText w:val="%9."/>
      <w:lvlJc w:val="right"/>
      <w:pPr>
        <w:ind w:left="1947" w:hanging="144"/>
      </w:pPr>
    </w:lvl>
  </w:abstractNum>
  <w:abstractNum w:abstractNumId="7">
    <w:nsid w:val="23FA5413"/>
    <w:multiLevelType w:val="multilevel"/>
    <w:tmpl w:val="23FA5413"/>
    <w:lvl w:ilvl="0" w:tentative="0">
      <w:start w:val="1"/>
      <w:numFmt w:val="none"/>
      <w:lvlText w:val="%1"/>
      <w:lvlJc w:val="left"/>
      <w:pPr>
        <w:ind w:left="623" w:hanging="425"/>
      </w:pPr>
    </w:lvl>
    <w:lvl w:ilvl="1" w:tentative="0">
      <w:start w:val="1"/>
      <w:numFmt w:val="decimal"/>
      <w:pStyle w:val="97"/>
      <w:lvlText w:val="%10.%2 "/>
      <w:lvlJc w:val="left"/>
      <w:pPr>
        <w:ind w:left="198" w:firstLine="0"/>
      </w:pPr>
      <w:rPr>
        <w:rFonts w:hint="eastAsia" w:ascii="黑体" w:hAnsi="黑体" w:eastAsia="黑体"/>
        <w:sz w:val="20"/>
      </w:rPr>
    </w:lvl>
    <w:lvl w:ilvl="2" w:tentative="0">
      <w:start w:val="1"/>
      <w:numFmt w:val="decimal"/>
      <w:lvlText w:val="%1.%2.%3"/>
      <w:lvlJc w:val="left"/>
      <w:pPr>
        <w:ind w:left="1616" w:hanging="567"/>
      </w:p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8">
    <w:nsid w:val="2B800546"/>
    <w:multiLevelType w:val="multilevel"/>
    <w:tmpl w:val="2B800546"/>
    <w:lvl w:ilvl="0" w:tentative="0">
      <w:start w:val="1"/>
      <w:numFmt w:val="lowerLetter"/>
      <w:pStyle w:val="93"/>
      <w:lvlText w:val="%1)"/>
      <w:lvlJc w:val="left"/>
      <w:pPr>
        <w:tabs>
          <w:tab w:val="left" w:pos="850"/>
        </w:tabs>
        <w:ind w:left="850" w:hanging="425"/>
      </w:pPr>
      <w:rPr>
        <w:rFonts w:hint="eastAsia" w:ascii="宋体" w:hAnsi="宋体" w:eastAsia="宋体"/>
        <w:sz w:val="20"/>
      </w:rPr>
    </w:lvl>
    <w:lvl w:ilvl="1" w:tentative="0">
      <w:start w:val="1"/>
      <w:numFmt w:val="decimal"/>
      <w:pStyle w:val="95"/>
      <w:lvlText w:val="%2)"/>
      <w:lvlJc w:val="left"/>
      <w:pPr>
        <w:tabs>
          <w:tab w:val="left" w:pos="1276"/>
        </w:tabs>
        <w:ind w:left="1276" w:hanging="426"/>
      </w:pPr>
      <w:rPr>
        <w:rFonts w:hint="eastAsia" w:ascii="宋体" w:hAnsi="Times New Roman" w:eastAsia="宋体" w:cs="Times New Roman"/>
        <w:color w:val="auto"/>
        <w:sz w:val="21"/>
      </w:rPr>
    </w:lvl>
    <w:lvl w:ilvl="2" w:tentative="0">
      <w:start w:val="1"/>
      <w:numFmt w:val="decimal"/>
      <w:lvlText w:val="%3."/>
      <w:lvlJc w:val="left"/>
      <w:pPr>
        <w:ind w:left="1276" w:hanging="425"/>
      </w:pPr>
      <w:rPr>
        <w:rFonts w:hint="default"/>
        <w:color w:val="auto"/>
      </w:rPr>
    </w:lvl>
    <w:lvl w:ilvl="3" w:tentative="0">
      <w:start w:val="1"/>
      <w:numFmt w:val="lowerLetter"/>
      <w:lvlText w:val="%4."/>
      <w:lvlJc w:val="left"/>
      <w:pPr>
        <w:ind w:left="1559" w:hanging="283"/>
      </w:pPr>
      <w:rPr>
        <w:rFonts w:hint="eastAsia"/>
      </w:rPr>
    </w:lvl>
    <w:lvl w:ilvl="4" w:tentative="0">
      <w:start w:val="1"/>
      <w:numFmt w:val="decimal"/>
      <w:lvlText w:val="%5."/>
      <w:lvlJc w:val="left"/>
      <w:pPr>
        <w:ind w:left="1984" w:hanging="425"/>
      </w:pPr>
      <w:rPr>
        <w:rFonts w:hint="eastAsia"/>
      </w:rPr>
    </w:lvl>
    <w:lvl w:ilvl="5" w:tentative="0">
      <w:start w:val="1"/>
      <w:numFmt w:val="lowerLetter"/>
      <w:lvlText w:val="%6."/>
      <w:lvlJc w:val="left"/>
      <w:pPr>
        <w:ind w:left="2409" w:hanging="425"/>
      </w:pPr>
      <w:rPr>
        <w:rFonts w:hint="eastAsia"/>
      </w:rPr>
    </w:lvl>
    <w:lvl w:ilvl="6" w:tentative="0">
      <w:start w:val="1"/>
      <w:numFmt w:val="lowerRoman"/>
      <w:lvlText w:val="%7."/>
      <w:lvlJc w:val="left"/>
      <w:pPr>
        <w:ind w:left="2835" w:hanging="426"/>
      </w:pPr>
      <w:rPr>
        <w:rFonts w:hint="eastAsia"/>
      </w:rPr>
    </w:lvl>
    <w:lvl w:ilvl="7" w:tentative="0">
      <w:start w:val="1"/>
      <w:numFmt w:val="lowerLetter"/>
      <w:lvlText w:val="%8."/>
      <w:lvlJc w:val="left"/>
      <w:pPr>
        <w:ind w:left="3260" w:hanging="425"/>
      </w:pPr>
      <w:rPr>
        <w:rFonts w:hint="eastAsia"/>
      </w:rPr>
    </w:lvl>
    <w:lvl w:ilvl="8" w:tentative="0">
      <w:start w:val="1"/>
      <w:numFmt w:val="lowerRoman"/>
      <w:lvlText w:val="%9."/>
      <w:lvlJc w:val="left"/>
      <w:pPr>
        <w:ind w:left="3685" w:hanging="425"/>
      </w:pPr>
      <w:rPr>
        <w:rFonts w:hint="eastAsia"/>
      </w:rPr>
    </w:lvl>
  </w:abstractNum>
  <w:abstractNum w:abstractNumId="9">
    <w:nsid w:val="2CA27D10"/>
    <w:multiLevelType w:val="multilevel"/>
    <w:tmpl w:val="2CA27D10"/>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pStyle w:val="99"/>
      <w:lvlText w:val="%10.%2.%3 "/>
      <w:lvlJc w:val="left"/>
      <w:pPr>
        <w:ind w:left="198" w:firstLine="0"/>
      </w:pPr>
      <w:rPr>
        <w:rFonts w:hint="eastAsia" w:ascii="黑体" w:hAnsi="黑体" w:eastAsia="黑体"/>
        <w:sz w:val="20"/>
      </w:r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0">
    <w:nsid w:val="2F7737BD"/>
    <w:multiLevelType w:val="multilevel"/>
    <w:tmpl w:val="2F7737BD"/>
    <w:lvl w:ilvl="0" w:tentative="0">
      <w:start w:val="1"/>
      <w:numFmt w:val="none"/>
      <w:pStyle w:val="193"/>
      <w:suff w:val="nothing"/>
      <w:lvlText w:val="注："/>
      <w:lvlJc w:val="left"/>
      <w:pPr>
        <w:ind w:left="737" w:hanging="374"/>
      </w:pPr>
      <w:rPr>
        <w:rFonts w:hint="eastAsia" w:ascii="黑体" w:hAnsi="黑体" w:eastAsia="黑体"/>
        <w:sz w:val="18"/>
        <w:vertAlign w:val="baseline"/>
      </w:rPr>
    </w:lvl>
    <w:lvl w:ilvl="1" w:tentative="0">
      <w:start w:val="1"/>
      <w:numFmt w:val="decimalZero"/>
      <w:pStyle w:val="3"/>
      <w:isLgl/>
      <w:lvlText w:val="节 %1.%2"/>
      <w:lvlJc w:val="left"/>
      <w:pPr>
        <w:ind w:left="0" w:firstLine="0"/>
      </w:pPr>
    </w:lvl>
    <w:lvl w:ilvl="2" w:tentative="0">
      <w:start w:val="1"/>
      <w:numFmt w:val="lowerLetter"/>
      <w:pStyle w:val="4"/>
      <w:lvlText w:val="(%3)"/>
      <w:lvlJc w:val="left"/>
      <w:pPr>
        <w:ind w:left="720" w:hanging="432"/>
      </w:pPr>
    </w:lvl>
    <w:lvl w:ilvl="3" w:tentative="0">
      <w:start w:val="1"/>
      <w:numFmt w:val="lowerRoman"/>
      <w:pStyle w:val="5"/>
      <w:lvlText w:val="(%4)"/>
      <w:lvlJc w:val="right"/>
      <w:pPr>
        <w:ind w:left="864" w:hanging="144"/>
      </w:pPr>
    </w:lvl>
    <w:lvl w:ilvl="4" w:tentative="0">
      <w:start w:val="1"/>
      <w:numFmt w:val="decimal"/>
      <w:pStyle w:val="6"/>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pStyle w:val="9"/>
      <w:lvlText w:val="%8."/>
      <w:lvlJc w:val="left"/>
      <w:pPr>
        <w:ind w:left="1440" w:hanging="432"/>
      </w:pPr>
    </w:lvl>
    <w:lvl w:ilvl="8" w:tentative="0">
      <w:start w:val="1"/>
      <w:numFmt w:val="lowerRoman"/>
      <w:pStyle w:val="10"/>
      <w:lvlText w:val="%9."/>
      <w:lvlJc w:val="right"/>
      <w:pPr>
        <w:ind w:left="1584" w:hanging="144"/>
      </w:pPr>
    </w:lvl>
  </w:abstractNum>
  <w:abstractNum w:abstractNumId="11">
    <w:nsid w:val="3F7474FF"/>
    <w:multiLevelType w:val="multilevel"/>
    <w:tmpl w:val="3F7474FF"/>
    <w:lvl w:ilvl="0" w:tentative="0">
      <w:start w:val="1"/>
      <w:numFmt w:val="none"/>
      <w:lvlText w:val="%1——"/>
      <w:lvlJc w:val="left"/>
      <w:pPr>
        <w:ind w:left="1695" w:hanging="425"/>
      </w:pPr>
      <w:rPr>
        <w:rFonts w:hint="eastAsia" w:ascii="Times New Roman" w:hAnsi="Times New Roman" w:cs="Times New Roman"/>
        <w:sz w:val="20"/>
      </w:rPr>
    </w:lvl>
    <w:lvl w:ilvl="1" w:tentative="0">
      <w:start w:val="1"/>
      <w:numFmt w:val="bullet"/>
      <w:pStyle w:val="89"/>
      <w:lvlText w:val=""/>
      <w:lvlJc w:val="left"/>
      <w:pPr>
        <w:ind w:left="851" w:hanging="431"/>
      </w:pPr>
      <w:rPr>
        <w:rFonts w:hint="default" w:ascii="Symbol" w:hAnsi="Symbol"/>
        <w:color w:val="auto"/>
      </w:rPr>
    </w:lvl>
    <w:lvl w:ilvl="2" w:tentative="0">
      <w:start w:val="1"/>
      <w:numFmt w:val="decimal"/>
      <w:lvlText w:val="%3."/>
      <w:lvlJc w:val="left"/>
      <w:pPr>
        <w:ind w:left="2126" w:hanging="425"/>
      </w:pPr>
      <w:rPr>
        <w:rFonts w:hint="eastAsia"/>
      </w:rPr>
    </w:lvl>
    <w:lvl w:ilvl="3" w:tentative="0">
      <w:start w:val="1"/>
      <w:numFmt w:val="lowerLetter"/>
      <w:lvlText w:val="%4."/>
      <w:lvlJc w:val="left"/>
      <w:pPr>
        <w:ind w:left="2409" w:hanging="283"/>
      </w:pPr>
      <w:rPr>
        <w:rFonts w:hint="eastAsia"/>
      </w:rPr>
    </w:lvl>
    <w:lvl w:ilvl="4" w:tentative="0">
      <w:start w:val="1"/>
      <w:numFmt w:val="decimal"/>
      <w:lvlText w:val="%5."/>
      <w:lvlJc w:val="left"/>
      <w:pPr>
        <w:ind w:left="2834" w:hanging="425"/>
      </w:pPr>
      <w:rPr>
        <w:rFonts w:hint="eastAsia"/>
      </w:rPr>
    </w:lvl>
    <w:lvl w:ilvl="5" w:tentative="0">
      <w:start w:val="1"/>
      <w:numFmt w:val="lowerLetter"/>
      <w:lvlText w:val="%6."/>
      <w:lvlJc w:val="left"/>
      <w:pPr>
        <w:ind w:left="3259" w:hanging="425"/>
      </w:pPr>
      <w:rPr>
        <w:rFonts w:hint="eastAsia"/>
      </w:rPr>
    </w:lvl>
    <w:lvl w:ilvl="6" w:tentative="0">
      <w:start w:val="1"/>
      <w:numFmt w:val="lowerRoman"/>
      <w:lvlText w:val="%7."/>
      <w:lvlJc w:val="left"/>
      <w:pPr>
        <w:ind w:left="3685" w:hanging="426"/>
      </w:pPr>
      <w:rPr>
        <w:rFonts w:hint="eastAsia"/>
      </w:rPr>
    </w:lvl>
    <w:lvl w:ilvl="7" w:tentative="0">
      <w:start w:val="1"/>
      <w:numFmt w:val="lowerLetter"/>
      <w:lvlText w:val="%8."/>
      <w:lvlJc w:val="left"/>
      <w:pPr>
        <w:ind w:left="4110" w:hanging="425"/>
      </w:pPr>
      <w:rPr>
        <w:rFonts w:hint="eastAsia"/>
      </w:rPr>
    </w:lvl>
    <w:lvl w:ilvl="8" w:tentative="0">
      <w:start w:val="1"/>
      <w:numFmt w:val="lowerRoman"/>
      <w:lvlText w:val="%9."/>
      <w:lvlJc w:val="left"/>
      <w:pPr>
        <w:ind w:left="4535" w:hanging="425"/>
      </w:pPr>
      <w:rPr>
        <w:rFonts w:hint="eastAsia"/>
      </w:rPr>
    </w:lvl>
  </w:abstractNum>
  <w:abstractNum w:abstractNumId="12">
    <w:nsid w:val="44C50F90"/>
    <w:multiLevelType w:val="multilevel"/>
    <w:tmpl w:val="44C50F90"/>
    <w:lvl w:ilvl="0" w:tentative="0">
      <w:start w:val="1"/>
      <w:numFmt w:val="lowerLetter"/>
      <w:pStyle w:val="246"/>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243"/>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247"/>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b w:val="0"/>
        <w:i w:val="0"/>
        <w:sz w:val="21"/>
      </w:rPr>
    </w:lvl>
    <w:lvl w:ilvl="4" w:tentative="0">
      <w:start w:val="1"/>
      <w:numFmt w:val="lowerLetter"/>
      <w:lvlText w:val="%5)"/>
      <w:lvlJc w:val="left"/>
      <w:pPr>
        <w:tabs>
          <w:tab w:val="left" w:pos="2517"/>
        </w:tabs>
        <w:ind w:left="2517" w:hanging="419"/>
      </w:pPr>
      <w:rPr>
        <w:rFonts w:hint="eastAsia" w:ascii="黑体" w:eastAsia="Times New Roman"/>
        <w:b w:val="0"/>
        <w:i w:val="0"/>
        <w:sz w:val="21"/>
        <w:lang w:val="en-US" w:eastAsia="zh-CN" w:bidi="ar-SA"/>
      </w:rPr>
    </w:lvl>
    <w:lvl w:ilvl="5" w:tentative="0">
      <w:start w:val="1"/>
      <w:numFmt w:val="lowerRoman"/>
      <w:lvlText w:val="%6."/>
      <w:lvlJc w:val="right"/>
      <w:pPr>
        <w:tabs>
          <w:tab w:val="left" w:pos="2942"/>
        </w:tabs>
        <w:ind w:left="2937" w:hanging="420"/>
      </w:pPr>
      <w:rPr>
        <w:rFonts w:hint="eastAsia"/>
        <w:b w:val="0"/>
        <w:i w:val="0"/>
        <w:sz w:val="21"/>
      </w:rPr>
    </w:lvl>
    <w:lvl w:ilvl="6" w:tentative="0">
      <w:start w:val="1"/>
      <w:numFmt w:val="decimal"/>
      <w:lvlText w:val="%7."/>
      <w:lvlJc w:val="left"/>
      <w:pPr>
        <w:tabs>
          <w:tab w:val="left" w:pos="3362"/>
        </w:tabs>
        <w:ind w:left="3356" w:hanging="414"/>
      </w:pPr>
      <w:rPr>
        <w:rFonts w:hint="eastAsia"/>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3">
    <w:nsid w:val="534C56BB"/>
    <w:multiLevelType w:val="multilevel"/>
    <w:tmpl w:val="534C56BB"/>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pStyle w:val="103"/>
      <w:lvlText w:val="%10.%2.%3.%4.%5 "/>
      <w:lvlJc w:val="left"/>
      <w:pPr>
        <w:ind w:left="198" w:firstLine="0"/>
      </w:pPr>
      <w:rPr>
        <w:rFonts w:hint="eastAsia" w:ascii="黑体" w:hAnsi="黑体" w:eastAsia="黑体"/>
        <w:sz w:val="20"/>
      </w:r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4">
    <w:nsid w:val="561E7762"/>
    <w:multiLevelType w:val="multilevel"/>
    <w:tmpl w:val="561E7762"/>
    <w:lvl w:ilvl="0" w:tentative="0">
      <w:start w:val="1"/>
      <w:numFmt w:val="decimal"/>
      <w:pStyle w:val="208"/>
      <w:suff w:val="nothing"/>
      <w:lvlText w:val="表%1  "/>
      <w:lvlJc w:val="left"/>
      <w:pPr>
        <w:ind w:left="0" w:firstLine="0"/>
      </w:pPr>
      <w:rPr>
        <w:rFonts w:hint="eastAsia" w:ascii="黑体" w:hAnsi="黑体" w:eastAsia="黑体"/>
        <w:sz w:val="21"/>
        <w:vertAlign w:val="baseline"/>
        <w:lang w:val="en-US"/>
      </w:rPr>
    </w:lvl>
    <w:lvl w:ilvl="1" w:tentative="0">
      <w:start w:val="1"/>
      <w:numFmt w:val="decimalZero"/>
      <w:isLgl/>
      <w:lvlText w:val="节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lvlText w:val="%6)"/>
      <w:lvlJc w:val="left"/>
      <w:pPr>
        <w:ind w:left="1152" w:hanging="432"/>
      </w:pPr>
    </w:lvl>
    <w:lvl w:ilvl="6" w:tentative="0">
      <w:start w:val="1"/>
      <w:numFmt w:val="lowerRoman"/>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abstractNum w:abstractNumId="15">
    <w:nsid w:val="634E162A"/>
    <w:multiLevelType w:val="multilevel"/>
    <w:tmpl w:val="634E162A"/>
    <w:lvl w:ilvl="0" w:tentative="0">
      <w:start w:val="1"/>
      <w:numFmt w:val="upperLetter"/>
      <w:suff w:val="nothing"/>
      <w:lvlText w:val="附　录　%1"/>
      <w:lvlJc w:val="left"/>
      <w:pPr>
        <w:ind w:left="0" w:firstLine="0"/>
      </w:pPr>
      <w:rPr>
        <w:rFonts w:hint="eastAsia" w:ascii="黑体" w:hAnsi="Times New Roman" w:eastAsia="黑体" w:cs="黑体"/>
        <w:b w:val="0"/>
        <w:spacing w:val="0"/>
        <w:w w:val="100"/>
        <w:sz w:val="21"/>
      </w:rPr>
    </w:lvl>
    <w:lvl w:ilvl="1" w:tentative="0">
      <w:start w:val="1"/>
      <w:numFmt w:val="decimal"/>
      <w:suff w:val="nothing"/>
      <w:lvlText w:val="%1.%2　"/>
      <w:lvlJc w:val="left"/>
      <w:pPr>
        <w:ind w:left="0" w:firstLine="0"/>
      </w:pPr>
      <w:rPr>
        <w:rFonts w:hint="eastAsia" w:ascii="黑体" w:hAnsi="Times New Roman" w:eastAsia="黑体" w:cs="黑体"/>
        <w:b w:val="0"/>
        <w:spacing w:val="0"/>
        <w:w w:val="100"/>
        <w:kern w:val="21"/>
        <w:sz w:val="21"/>
      </w:rPr>
    </w:lvl>
    <w:lvl w:ilvl="2" w:tentative="0">
      <w:start w:val="1"/>
      <w:numFmt w:val="decimal"/>
      <w:pStyle w:val="258"/>
      <w:suff w:val="nothing"/>
      <w:lvlText w:val="%1.%2.%3　"/>
      <w:lvlJc w:val="left"/>
      <w:pPr>
        <w:ind w:left="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6">
    <w:nsid w:val="63FEF917"/>
    <w:multiLevelType w:val="multilevel"/>
    <w:tmpl w:val="63FEF917"/>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63FEF959"/>
    <w:multiLevelType w:val="multilevel"/>
    <w:tmpl w:val="63FEF95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8">
    <w:nsid w:val="646260FA"/>
    <w:multiLevelType w:val="multilevel"/>
    <w:tmpl w:val="646260FA"/>
    <w:lvl w:ilvl="0" w:tentative="0">
      <w:start w:val="1"/>
      <w:numFmt w:val="decimal"/>
      <w:pStyle w:val="25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9">
    <w:nsid w:val="6B1C5574"/>
    <w:multiLevelType w:val="multilevel"/>
    <w:tmpl w:val="6B1C5574"/>
    <w:lvl w:ilvl="0" w:tentative="0">
      <w:start w:val="1"/>
      <w:numFmt w:val="none"/>
      <w:pStyle w:val="83"/>
      <w:suff w:val="nothing"/>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0">
    <w:nsid w:val="6FC930AC"/>
    <w:multiLevelType w:val="multilevel"/>
    <w:tmpl w:val="6FC930AC"/>
    <w:lvl w:ilvl="0" w:tentative="0">
      <w:start w:val="1"/>
      <w:numFmt w:val="decimal"/>
      <w:pStyle w:val="117"/>
      <w:suff w:val="nothing"/>
      <w:lvlText w:val="%1　"/>
      <w:lvlJc w:val="left"/>
      <w:pPr>
        <w:ind w:left="0" w:firstLine="0"/>
      </w:pPr>
      <w:rPr>
        <w:rFonts w:hint="eastAsia" w:ascii="黑体" w:hAnsi="黑体" w:eastAsia="黑体"/>
        <w:sz w:val="20"/>
      </w:rPr>
    </w:lvl>
    <w:lvl w:ilvl="1" w:tentative="0">
      <w:start w:val="1"/>
      <w:numFmt w:val="decimal"/>
      <w:pStyle w:val="119"/>
      <w:suff w:val="nothing"/>
      <w:lvlText w:val="%1.%2　"/>
      <w:lvlJc w:val="left"/>
      <w:pPr>
        <w:ind w:left="426" w:firstLine="0"/>
      </w:pPr>
      <w:rPr>
        <w:rFonts w:hint="eastAsia" w:ascii="黑体" w:hAnsi="黑体" w:eastAsia="黑体"/>
        <w:sz w:val="20"/>
      </w:rPr>
    </w:lvl>
    <w:lvl w:ilvl="2" w:tentative="0">
      <w:start w:val="1"/>
      <w:numFmt w:val="decimal"/>
      <w:pStyle w:val="121"/>
      <w:suff w:val="nothing"/>
      <w:lvlText w:val="%1.%2.%3　"/>
      <w:lvlJc w:val="left"/>
      <w:pPr>
        <w:ind w:left="0" w:firstLine="0"/>
      </w:pPr>
      <w:rPr>
        <w:rFonts w:hint="eastAsia" w:ascii="黑体" w:hAnsi="黑体" w:eastAsia="黑体"/>
        <w:sz w:val="20"/>
      </w:rPr>
    </w:lvl>
    <w:lvl w:ilvl="3" w:tentative="0">
      <w:start w:val="1"/>
      <w:numFmt w:val="decimal"/>
      <w:pStyle w:val="123"/>
      <w:suff w:val="nothing"/>
      <w:lvlText w:val="%1.%2.%3.%4　"/>
      <w:lvlJc w:val="left"/>
      <w:pPr>
        <w:ind w:left="0" w:firstLine="0"/>
      </w:pPr>
      <w:rPr>
        <w:rFonts w:hint="eastAsia" w:ascii="黑体" w:hAnsi="黑体" w:eastAsia="黑体"/>
        <w:sz w:val="20"/>
      </w:rPr>
    </w:lvl>
    <w:lvl w:ilvl="4" w:tentative="0">
      <w:start w:val="1"/>
      <w:numFmt w:val="decimal"/>
      <w:pStyle w:val="125"/>
      <w:suff w:val="nothing"/>
      <w:lvlText w:val="%1.%2.%3.%4.%5　"/>
      <w:lvlJc w:val="left"/>
      <w:pPr>
        <w:ind w:left="0" w:firstLine="0"/>
      </w:pPr>
      <w:rPr>
        <w:rFonts w:hint="eastAsia" w:ascii="黑体" w:hAnsi="黑体" w:eastAsia="黑体"/>
        <w:sz w:val="20"/>
      </w:rPr>
    </w:lvl>
    <w:lvl w:ilvl="5" w:tentative="0">
      <w:start w:val="1"/>
      <w:numFmt w:val="decimal"/>
      <w:pStyle w:val="127"/>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1">
    <w:nsid w:val="70CA3665"/>
    <w:multiLevelType w:val="multilevel"/>
    <w:tmpl w:val="70CA3665"/>
    <w:lvl w:ilvl="0" w:tentative="0">
      <w:start w:val="1"/>
      <w:numFmt w:val="none"/>
      <w:pStyle w:val="87"/>
      <w:lvlText w:val="%1——"/>
      <w:lvlJc w:val="left"/>
      <w:pPr>
        <w:tabs>
          <w:tab w:val="left" w:pos="851"/>
        </w:tabs>
        <w:ind w:left="851" w:hanging="426"/>
      </w:pPr>
      <w:rPr>
        <w:rFonts w:hint="eastAsia" w:ascii="Times New Roman" w:hAnsi="Times New Roman" w:cs="Times New Roman"/>
        <w:sz w:val="20"/>
      </w:rPr>
    </w:lvl>
    <w:lvl w:ilvl="1" w:tentative="0">
      <w:start w:val="1"/>
      <w:numFmt w:val="upperLetter"/>
      <w:lvlText w:val="%2."/>
      <w:lvlJc w:val="left"/>
      <w:pPr>
        <w:ind w:left="1276" w:hanging="426"/>
      </w:pPr>
      <w:rPr>
        <w:rFonts w:hint="eastAsia"/>
      </w:rPr>
    </w:lvl>
    <w:lvl w:ilvl="2" w:tentative="0">
      <w:start w:val="1"/>
      <w:numFmt w:val="decimal"/>
      <w:lvlText w:val="%3."/>
      <w:lvlJc w:val="left"/>
      <w:pPr>
        <w:ind w:left="1701" w:hanging="425"/>
      </w:pPr>
      <w:rPr>
        <w:rFonts w:hint="eastAsia"/>
      </w:rPr>
    </w:lvl>
    <w:lvl w:ilvl="3" w:tentative="0">
      <w:start w:val="1"/>
      <w:numFmt w:val="lowerLetter"/>
      <w:lvlText w:val="%4."/>
      <w:lvlJc w:val="left"/>
      <w:pPr>
        <w:ind w:left="1984" w:hanging="283"/>
      </w:pPr>
      <w:rPr>
        <w:rFonts w:hint="eastAsia"/>
      </w:rPr>
    </w:lvl>
    <w:lvl w:ilvl="4" w:tentative="0">
      <w:start w:val="1"/>
      <w:numFmt w:val="decimal"/>
      <w:lvlText w:val="%5."/>
      <w:lvlJc w:val="left"/>
      <w:pPr>
        <w:ind w:left="2409" w:hanging="425"/>
      </w:pPr>
      <w:rPr>
        <w:rFonts w:hint="eastAsia"/>
      </w:rPr>
    </w:lvl>
    <w:lvl w:ilvl="5" w:tentative="0">
      <w:start w:val="1"/>
      <w:numFmt w:val="lowerLetter"/>
      <w:lvlText w:val="%6."/>
      <w:lvlJc w:val="left"/>
      <w:pPr>
        <w:ind w:left="2834" w:hanging="425"/>
      </w:pPr>
      <w:rPr>
        <w:rFonts w:hint="eastAsia"/>
      </w:rPr>
    </w:lvl>
    <w:lvl w:ilvl="6" w:tentative="0">
      <w:start w:val="1"/>
      <w:numFmt w:val="lowerRoman"/>
      <w:lvlText w:val="%7."/>
      <w:lvlJc w:val="left"/>
      <w:pPr>
        <w:ind w:left="3260" w:hanging="426"/>
      </w:pPr>
      <w:rPr>
        <w:rFonts w:hint="eastAsia"/>
      </w:rPr>
    </w:lvl>
    <w:lvl w:ilvl="7" w:tentative="0">
      <w:start w:val="1"/>
      <w:numFmt w:val="lowerLetter"/>
      <w:lvlText w:val="%8."/>
      <w:lvlJc w:val="left"/>
      <w:pPr>
        <w:ind w:left="3685" w:hanging="425"/>
      </w:pPr>
      <w:rPr>
        <w:rFonts w:hint="eastAsia"/>
      </w:rPr>
    </w:lvl>
    <w:lvl w:ilvl="8" w:tentative="0">
      <w:start w:val="1"/>
      <w:numFmt w:val="lowerRoman"/>
      <w:lvlText w:val="%9."/>
      <w:lvlJc w:val="left"/>
      <w:pPr>
        <w:ind w:left="4110" w:hanging="425"/>
      </w:pPr>
      <w:rPr>
        <w:rFonts w:hint="eastAsia"/>
      </w:rPr>
    </w:lvl>
  </w:abstractNum>
  <w:abstractNum w:abstractNumId="22">
    <w:nsid w:val="7D6C781E"/>
    <w:multiLevelType w:val="multilevel"/>
    <w:tmpl w:val="7D6C781E"/>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pStyle w:val="101"/>
      <w:lvlText w:val="%10.%2.%3.%4 "/>
      <w:lvlJc w:val="left"/>
      <w:pPr>
        <w:ind w:left="198" w:firstLine="0"/>
      </w:pPr>
      <w:rPr>
        <w:rFonts w:hint="eastAsia" w:ascii="黑体" w:hAnsi="黑体" w:eastAsia="黑体"/>
        <w:sz w:val="20"/>
      </w:r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num w:numId="1">
    <w:abstractNumId w:val="10"/>
  </w:num>
  <w:num w:numId="2">
    <w:abstractNumId w:val="20"/>
    <w:lvlOverride w:ilvl="0">
      <w:lvl w:ilvl="0" w:tentative="1">
        <w:start w:val="1"/>
        <w:numFmt w:val="decimal"/>
        <w:suff w:val="nothing"/>
        <w:lvlText w:val="%1　"/>
        <w:lvlJc w:val="left"/>
        <w:pPr>
          <w:ind w:left="665" w:firstLine="0"/>
        </w:pPr>
        <w:rPr>
          <w:rFonts w:hint="eastAsia" w:ascii="黑体" w:hAnsi="黑体" w:eastAsia="黑体"/>
          <w:sz w:val="20"/>
        </w:rPr>
      </w:lvl>
    </w:lvlOverride>
    <w:lvlOverride w:ilvl="1">
      <w:lvl w:ilvl="1" w:tentative="1">
        <w:start w:val="1"/>
        <w:numFmt w:val="decimal"/>
        <w:suff w:val="nothing"/>
        <w:lvlText w:val="%1.%2　"/>
        <w:lvlJc w:val="left"/>
        <w:pPr>
          <w:ind w:left="0" w:firstLine="0"/>
        </w:pPr>
        <w:rPr>
          <w:rFonts w:hint="eastAsia" w:ascii="黑体" w:hAnsi="黑体" w:eastAsia="黑体"/>
          <w:sz w:val="20"/>
        </w:rPr>
      </w:lvl>
    </w:lvlOverride>
    <w:lvlOverride w:ilvl="2">
      <w:lvl w:ilvl="2" w:tentative="1">
        <w:start w:val="1"/>
        <w:numFmt w:val="decimal"/>
        <w:suff w:val="nothing"/>
        <w:lvlText w:val="%1.%2.%3　"/>
        <w:lvlJc w:val="left"/>
        <w:pPr>
          <w:ind w:left="0" w:firstLine="0"/>
        </w:pPr>
        <w:rPr>
          <w:rFonts w:hint="eastAsia" w:ascii="黑体" w:hAnsi="黑体" w:eastAsia="黑体"/>
          <w:sz w:val="20"/>
        </w:rPr>
      </w:lvl>
    </w:lvlOverride>
    <w:lvlOverride w:ilvl="3">
      <w:lvl w:ilvl="3" w:tentative="1">
        <w:start w:val="1"/>
        <w:numFmt w:val="decimal"/>
        <w:suff w:val="nothing"/>
        <w:lvlText w:val="%1.%2.%3.%4　"/>
        <w:lvlJc w:val="left"/>
        <w:pPr>
          <w:ind w:left="0" w:firstLine="0"/>
        </w:pPr>
        <w:rPr>
          <w:rFonts w:hint="eastAsia" w:ascii="黑体" w:hAnsi="黑体" w:eastAsia="黑体"/>
          <w:sz w:val="20"/>
        </w:rPr>
      </w:lvl>
    </w:lvlOverride>
    <w:lvlOverride w:ilvl="4">
      <w:lvl w:ilvl="4" w:tentative="1">
        <w:start w:val="1"/>
        <w:numFmt w:val="decimal"/>
        <w:suff w:val="nothing"/>
        <w:lvlText w:val="%1.%2.%3.%4.%5　"/>
        <w:lvlJc w:val="left"/>
        <w:pPr>
          <w:ind w:left="0" w:firstLine="0"/>
        </w:pPr>
        <w:rPr>
          <w:rFonts w:hint="eastAsia" w:ascii="黑体" w:hAnsi="黑体" w:eastAsia="黑体"/>
          <w:sz w:val="20"/>
        </w:rPr>
      </w:lvl>
    </w:lvlOverride>
    <w:lvlOverride w:ilvl="5">
      <w:lvl w:ilvl="5" w:tentative="1">
        <w:start w:val="1"/>
        <w:numFmt w:val="decimal"/>
        <w:suff w:val="nothing"/>
        <w:lvlText w:val="%1.%2.%3.%4.%5.%6　"/>
        <w:lvlJc w:val="left"/>
        <w:pPr>
          <w:ind w:left="0" w:firstLine="0"/>
        </w:pPr>
        <w:rPr>
          <w:rFonts w:hint="eastAsia" w:ascii="黑体" w:hAnsi="黑体" w:eastAsia="黑体"/>
          <w:sz w:val="20"/>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3">
    <w:abstractNumId w:val="19"/>
  </w:num>
  <w:num w:numId="4">
    <w:abstractNumId w:val="21"/>
  </w:num>
  <w:num w:numId="5">
    <w:abstractNumId w:val="11"/>
  </w:num>
  <w:num w:numId="6">
    <w:abstractNumId w:val="3"/>
  </w:num>
  <w:num w:numId="7">
    <w:abstractNumId w:val="8"/>
  </w:num>
  <w:num w:numId="8">
    <w:abstractNumId w:val="7"/>
  </w:num>
  <w:num w:numId="9">
    <w:abstractNumId w:val="9"/>
  </w:num>
  <w:num w:numId="10">
    <w:abstractNumId w:val="22"/>
  </w:num>
  <w:num w:numId="11">
    <w:abstractNumId w:val="13"/>
  </w:num>
  <w:num w:numId="12">
    <w:abstractNumId w:val="1"/>
  </w:num>
  <w:num w:numId="13">
    <w:abstractNumId w:val="20"/>
  </w:num>
  <w:num w:numId="14">
    <w:abstractNumId w:val="5"/>
  </w:num>
  <w:num w:numId="15">
    <w:abstractNumId w:val="6"/>
  </w:num>
  <w:num w:numId="16">
    <w:abstractNumId w:val="14"/>
  </w:num>
  <w:num w:numId="17">
    <w:abstractNumId w:val="0"/>
  </w:num>
  <w:num w:numId="18">
    <w:abstractNumId w:val="4"/>
  </w:num>
  <w:num w:numId="19">
    <w:abstractNumId w:val="12"/>
  </w:num>
  <w:num w:numId="20">
    <w:abstractNumId w:val="2"/>
  </w:num>
  <w:num w:numId="21">
    <w:abstractNumId w:val="18"/>
  </w:num>
  <w:num w:numId="22">
    <w:abstractNumId w:val="15"/>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5"/>
    </w:lvlOverride>
    <w:lvlOverride w:ilvl="1">
      <w:startOverride w:val="14"/>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1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0"/>
  <w:attachedTemplate r:id="rId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3NzI0YjNlNjM1OWRmMTNmYzVhZDE1Nzk1MzVlOTEifQ=="/>
  </w:docVars>
  <w:rsids>
    <w:rsidRoot w:val="006C7F3E"/>
    <w:rsid w:val="00006AF7"/>
    <w:rsid w:val="00007B81"/>
    <w:rsid w:val="00012490"/>
    <w:rsid w:val="00013365"/>
    <w:rsid w:val="00014558"/>
    <w:rsid w:val="000154EE"/>
    <w:rsid w:val="00015E06"/>
    <w:rsid w:val="0002237B"/>
    <w:rsid w:val="000226E3"/>
    <w:rsid w:val="00024BA6"/>
    <w:rsid w:val="00025BA2"/>
    <w:rsid w:val="0003190E"/>
    <w:rsid w:val="0003314B"/>
    <w:rsid w:val="00034287"/>
    <w:rsid w:val="0003678E"/>
    <w:rsid w:val="0003785D"/>
    <w:rsid w:val="000400DA"/>
    <w:rsid w:val="00040CD5"/>
    <w:rsid w:val="000425CD"/>
    <w:rsid w:val="000465A6"/>
    <w:rsid w:val="00046648"/>
    <w:rsid w:val="00046A6B"/>
    <w:rsid w:val="00046F1D"/>
    <w:rsid w:val="0005096A"/>
    <w:rsid w:val="0005210A"/>
    <w:rsid w:val="000539C5"/>
    <w:rsid w:val="00053F7A"/>
    <w:rsid w:val="000549F9"/>
    <w:rsid w:val="00056FD4"/>
    <w:rsid w:val="00075D22"/>
    <w:rsid w:val="00076559"/>
    <w:rsid w:val="00077CC5"/>
    <w:rsid w:val="000807B7"/>
    <w:rsid w:val="000812AE"/>
    <w:rsid w:val="000829AD"/>
    <w:rsid w:val="0008558F"/>
    <w:rsid w:val="00091038"/>
    <w:rsid w:val="00095B73"/>
    <w:rsid w:val="00097E59"/>
    <w:rsid w:val="000A6C62"/>
    <w:rsid w:val="000C1416"/>
    <w:rsid w:val="000C6FDF"/>
    <w:rsid w:val="000D1ABD"/>
    <w:rsid w:val="000E03F4"/>
    <w:rsid w:val="000E3C6E"/>
    <w:rsid w:val="000F0433"/>
    <w:rsid w:val="000F741A"/>
    <w:rsid w:val="0010257B"/>
    <w:rsid w:val="00105BA2"/>
    <w:rsid w:val="001118F4"/>
    <w:rsid w:val="00112D63"/>
    <w:rsid w:val="00115732"/>
    <w:rsid w:val="00120AD2"/>
    <w:rsid w:val="00122A4B"/>
    <w:rsid w:val="00122A9B"/>
    <w:rsid w:val="00126C4D"/>
    <w:rsid w:val="00127CBF"/>
    <w:rsid w:val="0013366C"/>
    <w:rsid w:val="001349E5"/>
    <w:rsid w:val="00134BB5"/>
    <w:rsid w:val="001353B5"/>
    <w:rsid w:val="00135418"/>
    <w:rsid w:val="001427E8"/>
    <w:rsid w:val="00144458"/>
    <w:rsid w:val="00146C69"/>
    <w:rsid w:val="001633C6"/>
    <w:rsid w:val="001726D5"/>
    <w:rsid w:val="001730E9"/>
    <w:rsid w:val="0018343A"/>
    <w:rsid w:val="0018656D"/>
    <w:rsid w:val="00187BEE"/>
    <w:rsid w:val="00187C0E"/>
    <w:rsid w:val="001966B7"/>
    <w:rsid w:val="001A0E88"/>
    <w:rsid w:val="001A3E95"/>
    <w:rsid w:val="001A5604"/>
    <w:rsid w:val="001A6316"/>
    <w:rsid w:val="001B1818"/>
    <w:rsid w:val="001B435D"/>
    <w:rsid w:val="001B7FDD"/>
    <w:rsid w:val="001C2639"/>
    <w:rsid w:val="001C5C9B"/>
    <w:rsid w:val="001C7FEC"/>
    <w:rsid w:val="001D0D7E"/>
    <w:rsid w:val="001D6C92"/>
    <w:rsid w:val="001E6424"/>
    <w:rsid w:val="001E775B"/>
    <w:rsid w:val="001E7DCC"/>
    <w:rsid w:val="001F1221"/>
    <w:rsid w:val="001F22A2"/>
    <w:rsid w:val="001F28F3"/>
    <w:rsid w:val="001F6821"/>
    <w:rsid w:val="001F6C2E"/>
    <w:rsid w:val="001F748E"/>
    <w:rsid w:val="002034B4"/>
    <w:rsid w:val="00203F77"/>
    <w:rsid w:val="00206AFD"/>
    <w:rsid w:val="00217755"/>
    <w:rsid w:val="002212CF"/>
    <w:rsid w:val="0022356A"/>
    <w:rsid w:val="00224E7F"/>
    <w:rsid w:val="002278D9"/>
    <w:rsid w:val="00231B31"/>
    <w:rsid w:val="002325EC"/>
    <w:rsid w:val="00233A3F"/>
    <w:rsid w:val="002355A1"/>
    <w:rsid w:val="00236861"/>
    <w:rsid w:val="00246EBE"/>
    <w:rsid w:val="00250366"/>
    <w:rsid w:val="002512FC"/>
    <w:rsid w:val="00252072"/>
    <w:rsid w:val="00257A34"/>
    <w:rsid w:val="00261F1A"/>
    <w:rsid w:val="00263665"/>
    <w:rsid w:val="002643DC"/>
    <w:rsid w:val="00264DA4"/>
    <w:rsid w:val="00270B69"/>
    <w:rsid w:val="00275668"/>
    <w:rsid w:val="002758CC"/>
    <w:rsid w:val="00287673"/>
    <w:rsid w:val="00287FBC"/>
    <w:rsid w:val="002910A8"/>
    <w:rsid w:val="002912C8"/>
    <w:rsid w:val="00293B29"/>
    <w:rsid w:val="00294C67"/>
    <w:rsid w:val="00296E84"/>
    <w:rsid w:val="002A7716"/>
    <w:rsid w:val="002B07EC"/>
    <w:rsid w:val="002B1FB4"/>
    <w:rsid w:val="002B3576"/>
    <w:rsid w:val="002B3FC5"/>
    <w:rsid w:val="002C1968"/>
    <w:rsid w:val="002D1BFD"/>
    <w:rsid w:val="002D49DA"/>
    <w:rsid w:val="002F2D9C"/>
    <w:rsid w:val="002F6D1E"/>
    <w:rsid w:val="00303432"/>
    <w:rsid w:val="003052AE"/>
    <w:rsid w:val="00312DA2"/>
    <w:rsid w:val="00315A97"/>
    <w:rsid w:val="00315E18"/>
    <w:rsid w:val="00317DB4"/>
    <w:rsid w:val="003205D6"/>
    <w:rsid w:val="003225E0"/>
    <w:rsid w:val="003252D5"/>
    <w:rsid w:val="003264F7"/>
    <w:rsid w:val="00327278"/>
    <w:rsid w:val="00335357"/>
    <w:rsid w:val="003353A6"/>
    <w:rsid w:val="003356E8"/>
    <w:rsid w:val="00336CA0"/>
    <w:rsid w:val="00337897"/>
    <w:rsid w:val="00337AD4"/>
    <w:rsid w:val="00341CE9"/>
    <w:rsid w:val="0035147F"/>
    <w:rsid w:val="00351F69"/>
    <w:rsid w:val="0035793F"/>
    <w:rsid w:val="00357AEC"/>
    <w:rsid w:val="003605F7"/>
    <w:rsid w:val="003611B7"/>
    <w:rsid w:val="0036259C"/>
    <w:rsid w:val="00364DAA"/>
    <w:rsid w:val="0036576D"/>
    <w:rsid w:val="00373094"/>
    <w:rsid w:val="00375F09"/>
    <w:rsid w:val="00375F5D"/>
    <w:rsid w:val="0037677B"/>
    <w:rsid w:val="003812F3"/>
    <w:rsid w:val="00381407"/>
    <w:rsid w:val="00383C7D"/>
    <w:rsid w:val="00385B11"/>
    <w:rsid w:val="00394C9B"/>
    <w:rsid w:val="003A02F4"/>
    <w:rsid w:val="003A05E3"/>
    <w:rsid w:val="003A6A73"/>
    <w:rsid w:val="003B1D6E"/>
    <w:rsid w:val="003C1013"/>
    <w:rsid w:val="003C1576"/>
    <w:rsid w:val="003C2D28"/>
    <w:rsid w:val="003C4E42"/>
    <w:rsid w:val="003C5DE9"/>
    <w:rsid w:val="003C6DA3"/>
    <w:rsid w:val="003D0224"/>
    <w:rsid w:val="003D188D"/>
    <w:rsid w:val="003D2161"/>
    <w:rsid w:val="003D4C3E"/>
    <w:rsid w:val="003D737C"/>
    <w:rsid w:val="003E2A2A"/>
    <w:rsid w:val="003E317A"/>
    <w:rsid w:val="003E4E28"/>
    <w:rsid w:val="003E628E"/>
    <w:rsid w:val="003F26FF"/>
    <w:rsid w:val="003F6B1A"/>
    <w:rsid w:val="00400BC9"/>
    <w:rsid w:val="00401083"/>
    <w:rsid w:val="004047FA"/>
    <w:rsid w:val="00407650"/>
    <w:rsid w:val="00407AAC"/>
    <w:rsid w:val="004114F0"/>
    <w:rsid w:val="00416974"/>
    <w:rsid w:val="0042492E"/>
    <w:rsid w:val="00424E16"/>
    <w:rsid w:val="00426066"/>
    <w:rsid w:val="00433C41"/>
    <w:rsid w:val="00433F3F"/>
    <w:rsid w:val="00435206"/>
    <w:rsid w:val="00437324"/>
    <w:rsid w:val="00437965"/>
    <w:rsid w:val="004403CD"/>
    <w:rsid w:val="0044463B"/>
    <w:rsid w:val="00447118"/>
    <w:rsid w:val="00447D8D"/>
    <w:rsid w:val="00447E2B"/>
    <w:rsid w:val="0045024F"/>
    <w:rsid w:val="004503C7"/>
    <w:rsid w:val="00454664"/>
    <w:rsid w:val="004557B5"/>
    <w:rsid w:val="00455A0A"/>
    <w:rsid w:val="00461996"/>
    <w:rsid w:val="00461F8D"/>
    <w:rsid w:val="0047045B"/>
    <w:rsid w:val="00475E1E"/>
    <w:rsid w:val="00476138"/>
    <w:rsid w:val="00482341"/>
    <w:rsid w:val="00482B50"/>
    <w:rsid w:val="0048307D"/>
    <w:rsid w:val="00490D7C"/>
    <w:rsid w:val="00492BD8"/>
    <w:rsid w:val="0049559A"/>
    <w:rsid w:val="00497915"/>
    <w:rsid w:val="004A4222"/>
    <w:rsid w:val="004A529F"/>
    <w:rsid w:val="004A67A4"/>
    <w:rsid w:val="004A70DF"/>
    <w:rsid w:val="004A7251"/>
    <w:rsid w:val="004B0E7F"/>
    <w:rsid w:val="004B1FBF"/>
    <w:rsid w:val="004B29E7"/>
    <w:rsid w:val="004B31E7"/>
    <w:rsid w:val="004B3703"/>
    <w:rsid w:val="004B6C02"/>
    <w:rsid w:val="004B71FE"/>
    <w:rsid w:val="004B7264"/>
    <w:rsid w:val="004C4238"/>
    <w:rsid w:val="004C599C"/>
    <w:rsid w:val="004C73BB"/>
    <w:rsid w:val="004D36A0"/>
    <w:rsid w:val="004D792C"/>
    <w:rsid w:val="004E7078"/>
    <w:rsid w:val="004F0EF3"/>
    <w:rsid w:val="004F1DE2"/>
    <w:rsid w:val="004F2042"/>
    <w:rsid w:val="004F526E"/>
    <w:rsid w:val="00507778"/>
    <w:rsid w:val="00513A2C"/>
    <w:rsid w:val="00513EC8"/>
    <w:rsid w:val="00514325"/>
    <w:rsid w:val="005224F7"/>
    <w:rsid w:val="00524D76"/>
    <w:rsid w:val="00524F7F"/>
    <w:rsid w:val="005278B3"/>
    <w:rsid w:val="00531A03"/>
    <w:rsid w:val="00543A3F"/>
    <w:rsid w:val="00544D05"/>
    <w:rsid w:val="005452C4"/>
    <w:rsid w:val="00546B9A"/>
    <w:rsid w:val="00552B4E"/>
    <w:rsid w:val="0055766C"/>
    <w:rsid w:val="00564BF8"/>
    <w:rsid w:val="005711B5"/>
    <w:rsid w:val="00573C6B"/>
    <w:rsid w:val="0057762A"/>
    <w:rsid w:val="00582CD9"/>
    <w:rsid w:val="00586E45"/>
    <w:rsid w:val="00590AB7"/>
    <w:rsid w:val="00593FF8"/>
    <w:rsid w:val="00596F50"/>
    <w:rsid w:val="005A2595"/>
    <w:rsid w:val="005A36C1"/>
    <w:rsid w:val="005A5B18"/>
    <w:rsid w:val="005B01E5"/>
    <w:rsid w:val="005B020B"/>
    <w:rsid w:val="005B2DAB"/>
    <w:rsid w:val="005B71AB"/>
    <w:rsid w:val="005C06EB"/>
    <w:rsid w:val="005C3D8E"/>
    <w:rsid w:val="005C44F7"/>
    <w:rsid w:val="005C6784"/>
    <w:rsid w:val="005D1762"/>
    <w:rsid w:val="005D1B4A"/>
    <w:rsid w:val="005D285E"/>
    <w:rsid w:val="005D447A"/>
    <w:rsid w:val="005D5700"/>
    <w:rsid w:val="005E1A13"/>
    <w:rsid w:val="005E1B60"/>
    <w:rsid w:val="005E62DC"/>
    <w:rsid w:val="005F5B58"/>
    <w:rsid w:val="005F608D"/>
    <w:rsid w:val="006122F0"/>
    <w:rsid w:val="006128C6"/>
    <w:rsid w:val="00612981"/>
    <w:rsid w:val="00617977"/>
    <w:rsid w:val="00624DBB"/>
    <w:rsid w:val="006257B3"/>
    <w:rsid w:val="00643ACD"/>
    <w:rsid w:val="00644263"/>
    <w:rsid w:val="00646B8E"/>
    <w:rsid w:val="00647F7A"/>
    <w:rsid w:val="0065264E"/>
    <w:rsid w:val="006529AC"/>
    <w:rsid w:val="00653055"/>
    <w:rsid w:val="006537D6"/>
    <w:rsid w:val="00654888"/>
    <w:rsid w:val="00656191"/>
    <w:rsid w:val="0066073A"/>
    <w:rsid w:val="00660E3E"/>
    <w:rsid w:val="00670BAE"/>
    <w:rsid w:val="0067576F"/>
    <w:rsid w:val="006757B6"/>
    <w:rsid w:val="006767A6"/>
    <w:rsid w:val="006858CA"/>
    <w:rsid w:val="006868D2"/>
    <w:rsid w:val="00690C6F"/>
    <w:rsid w:val="00690F70"/>
    <w:rsid w:val="00692678"/>
    <w:rsid w:val="00694FB4"/>
    <w:rsid w:val="006951B4"/>
    <w:rsid w:val="006A05ED"/>
    <w:rsid w:val="006A1C17"/>
    <w:rsid w:val="006A22C7"/>
    <w:rsid w:val="006A26C4"/>
    <w:rsid w:val="006B4E48"/>
    <w:rsid w:val="006C5919"/>
    <w:rsid w:val="006C61D1"/>
    <w:rsid w:val="006C7F3E"/>
    <w:rsid w:val="006D1196"/>
    <w:rsid w:val="006D2E8A"/>
    <w:rsid w:val="006D56FF"/>
    <w:rsid w:val="006D6A12"/>
    <w:rsid w:val="006E12EA"/>
    <w:rsid w:val="006E1D67"/>
    <w:rsid w:val="006E407F"/>
    <w:rsid w:val="006F4DC0"/>
    <w:rsid w:val="006F6B4F"/>
    <w:rsid w:val="0070154D"/>
    <w:rsid w:val="00704DE1"/>
    <w:rsid w:val="007054E5"/>
    <w:rsid w:val="00710F38"/>
    <w:rsid w:val="00714F2F"/>
    <w:rsid w:val="007201A5"/>
    <w:rsid w:val="007225D5"/>
    <w:rsid w:val="00722C17"/>
    <w:rsid w:val="00723BBA"/>
    <w:rsid w:val="00726BBE"/>
    <w:rsid w:val="00730757"/>
    <w:rsid w:val="00730B35"/>
    <w:rsid w:val="00733A72"/>
    <w:rsid w:val="00734BEA"/>
    <w:rsid w:val="00742E11"/>
    <w:rsid w:val="007572ED"/>
    <w:rsid w:val="00760B15"/>
    <w:rsid w:val="007631FD"/>
    <w:rsid w:val="00763EDB"/>
    <w:rsid w:val="00765304"/>
    <w:rsid w:val="0076693A"/>
    <w:rsid w:val="00766940"/>
    <w:rsid w:val="00766D5E"/>
    <w:rsid w:val="00773776"/>
    <w:rsid w:val="00774771"/>
    <w:rsid w:val="00780025"/>
    <w:rsid w:val="00781C50"/>
    <w:rsid w:val="00785A1E"/>
    <w:rsid w:val="0079273C"/>
    <w:rsid w:val="00792ADE"/>
    <w:rsid w:val="00797451"/>
    <w:rsid w:val="007A04B5"/>
    <w:rsid w:val="007A1805"/>
    <w:rsid w:val="007A1F7C"/>
    <w:rsid w:val="007A4018"/>
    <w:rsid w:val="007B0B53"/>
    <w:rsid w:val="007B7487"/>
    <w:rsid w:val="007C10C1"/>
    <w:rsid w:val="007C10F2"/>
    <w:rsid w:val="007C7901"/>
    <w:rsid w:val="007D1BF2"/>
    <w:rsid w:val="007D1F29"/>
    <w:rsid w:val="007D2F75"/>
    <w:rsid w:val="007D39FC"/>
    <w:rsid w:val="007D6DF6"/>
    <w:rsid w:val="007D76EC"/>
    <w:rsid w:val="007E0E9F"/>
    <w:rsid w:val="007F2263"/>
    <w:rsid w:val="007F237D"/>
    <w:rsid w:val="007F3E25"/>
    <w:rsid w:val="007F41E4"/>
    <w:rsid w:val="007F461C"/>
    <w:rsid w:val="007F50D6"/>
    <w:rsid w:val="007F6CFF"/>
    <w:rsid w:val="007F7EB1"/>
    <w:rsid w:val="0080260F"/>
    <w:rsid w:val="0080554D"/>
    <w:rsid w:val="00812D01"/>
    <w:rsid w:val="0082183C"/>
    <w:rsid w:val="00827120"/>
    <w:rsid w:val="008456C3"/>
    <w:rsid w:val="0085152C"/>
    <w:rsid w:val="00861ED6"/>
    <w:rsid w:val="00867176"/>
    <w:rsid w:val="0086794C"/>
    <w:rsid w:val="008708FE"/>
    <w:rsid w:val="008709D9"/>
    <w:rsid w:val="00871480"/>
    <w:rsid w:val="008722F5"/>
    <w:rsid w:val="00873C66"/>
    <w:rsid w:val="00876408"/>
    <w:rsid w:val="00886CE1"/>
    <w:rsid w:val="008902F1"/>
    <w:rsid w:val="00890D0C"/>
    <w:rsid w:val="00891E5C"/>
    <w:rsid w:val="008966BA"/>
    <w:rsid w:val="008A0829"/>
    <w:rsid w:val="008A1274"/>
    <w:rsid w:val="008A447E"/>
    <w:rsid w:val="008A466F"/>
    <w:rsid w:val="008A5792"/>
    <w:rsid w:val="008B7300"/>
    <w:rsid w:val="008C07A3"/>
    <w:rsid w:val="008D4D82"/>
    <w:rsid w:val="008E55CF"/>
    <w:rsid w:val="008F519C"/>
    <w:rsid w:val="008F622E"/>
    <w:rsid w:val="009043B5"/>
    <w:rsid w:val="00904E8A"/>
    <w:rsid w:val="00907644"/>
    <w:rsid w:val="00911D84"/>
    <w:rsid w:val="00913B29"/>
    <w:rsid w:val="009154E9"/>
    <w:rsid w:val="009225C1"/>
    <w:rsid w:val="009232BD"/>
    <w:rsid w:val="00934FFB"/>
    <w:rsid w:val="00935136"/>
    <w:rsid w:val="009358C0"/>
    <w:rsid w:val="0093704D"/>
    <w:rsid w:val="0094562C"/>
    <w:rsid w:val="0095048A"/>
    <w:rsid w:val="00950EB2"/>
    <w:rsid w:val="00953A9E"/>
    <w:rsid w:val="009551D8"/>
    <w:rsid w:val="00964AE0"/>
    <w:rsid w:val="009651A4"/>
    <w:rsid w:val="00965BA4"/>
    <w:rsid w:val="0096689E"/>
    <w:rsid w:val="00973173"/>
    <w:rsid w:val="009771C9"/>
    <w:rsid w:val="00982F7A"/>
    <w:rsid w:val="009911D2"/>
    <w:rsid w:val="0099475D"/>
    <w:rsid w:val="0099662B"/>
    <w:rsid w:val="00996C38"/>
    <w:rsid w:val="009A264B"/>
    <w:rsid w:val="009A469E"/>
    <w:rsid w:val="009A514C"/>
    <w:rsid w:val="009A6D5D"/>
    <w:rsid w:val="009A7E09"/>
    <w:rsid w:val="009B1225"/>
    <w:rsid w:val="009B2EB4"/>
    <w:rsid w:val="009B489E"/>
    <w:rsid w:val="009B6C37"/>
    <w:rsid w:val="009C020E"/>
    <w:rsid w:val="009C51D5"/>
    <w:rsid w:val="009C686B"/>
    <w:rsid w:val="009C6AA2"/>
    <w:rsid w:val="009C7113"/>
    <w:rsid w:val="009E10BD"/>
    <w:rsid w:val="009E11E6"/>
    <w:rsid w:val="009E1636"/>
    <w:rsid w:val="009E19F9"/>
    <w:rsid w:val="009E53D5"/>
    <w:rsid w:val="009E55CA"/>
    <w:rsid w:val="009F00B3"/>
    <w:rsid w:val="009F05B7"/>
    <w:rsid w:val="009F5D00"/>
    <w:rsid w:val="009F6779"/>
    <w:rsid w:val="00A018D8"/>
    <w:rsid w:val="00A01EB0"/>
    <w:rsid w:val="00A04AFF"/>
    <w:rsid w:val="00A06752"/>
    <w:rsid w:val="00A170EA"/>
    <w:rsid w:val="00A20136"/>
    <w:rsid w:val="00A22358"/>
    <w:rsid w:val="00A23699"/>
    <w:rsid w:val="00A30CF4"/>
    <w:rsid w:val="00A35218"/>
    <w:rsid w:val="00A41CE2"/>
    <w:rsid w:val="00A420E4"/>
    <w:rsid w:val="00A433C7"/>
    <w:rsid w:val="00A44977"/>
    <w:rsid w:val="00A44ACA"/>
    <w:rsid w:val="00A50963"/>
    <w:rsid w:val="00A532EF"/>
    <w:rsid w:val="00A54D24"/>
    <w:rsid w:val="00A6165C"/>
    <w:rsid w:val="00A6464E"/>
    <w:rsid w:val="00A67026"/>
    <w:rsid w:val="00A675F8"/>
    <w:rsid w:val="00A71915"/>
    <w:rsid w:val="00A73EC7"/>
    <w:rsid w:val="00A76931"/>
    <w:rsid w:val="00A76B1F"/>
    <w:rsid w:val="00A77C47"/>
    <w:rsid w:val="00A82210"/>
    <w:rsid w:val="00A96023"/>
    <w:rsid w:val="00AA04BC"/>
    <w:rsid w:val="00AA1F82"/>
    <w:rsid w:val="00AB19FF"/>
    <w:rsid w:val="00AB4626"/>
    <w:rsid w:val="00AC315E"/>
    <w:rsid w:val="00AC368A"/>
    <w:rsid w:val="00AC3786"/>
    <w:rsid w:val="00AC4EC7"/>
    <w:rsid w:val="00AC6E32"/>
    <w:rsid w:val="00AD611B"/>
    <w:rsid w:val="00AD71F4"/>
    <w:rsid w:val="00AE0DEC"/>
    <w:rsid w:val="00AE1A4A"/>
    <w:rsid w:val="00AE1E50"/>
    <w:rsid w:val="00AE24DD"/>
    <w:rsid w:val="00AE5E63"/>
    <w:rsid w:val="00AF266A"/>
    <w:rsid w:val="00B01DA7"/>
    <w:rsid w:val="00B0362B"/>
    <w:rsid w:val="00B04B8C"/>
    <w:rsid w:val="00B05349"/>
    <w:rsid w:val="00B054EB"/>
    <w:rsid w:val="00B114F9"/>
    <w:rsid w:val="00B153CF"/>
    <w:rsid w:val="00B24490"/>
    <w:rsid w:val="00B2467D"/>
    <w:rsid w:val="00B270ED"/>
    <w:rsid w:val="00B274C0"/>
    <w:rsid w:val="00B30CDD"/>
    <w:rsid w:val="00B319E8"/>
    <w:rsid w:val="00B35DA9"/>
    <w:rsid w:val="00B36383"/>
    <w:rsid w:val="00B370C0"/>
    <w:rsid w:val="00B4113F"/>
    <w:rsid w:val="00B416C4"/>
    <w:rsid w:val="00B43A12"/>
    <w:rsid w:val="00B4493E"/>
    <w:rsid w:val="00B45C24"/>
    <w:rsid w:val="00B54F6E"/>
    <w:rsid w:val="00B56DCE"/>
    <w:rsid w:val="00B57E8C"/>
    <w:rsid w:val="00B61021"/>
    <w:rsid w:val="00B61DF3"/>
    <w:rsid w:val="00B639AA"/>
    <w:rsid w:val="00B665F9"/>
    <w:rsid w:val="00B706C6"/>
    <w:rsid w:val="00B752F3"/>
    <w:rsid w:val="00B870BE"/>
    <w:rsid w:val="00B902E1"/>
    <w:rsid w:val="00B93C6E"/>
    <w:rsid w:val="00B95E29"/>
    <w:rsid w:val="00BA3235"/>
    <w:rsid w:val="00BA6A36"/>
    <w:rsid w:val="00BB1EA5"/>
    <w:rsid w:val="00BB77E8"/>
    <w:rsid w:val="00BC2D76"/>
    <w:rsid w:val="00BC3166"/>
    <w:rsid w:val="00BC3FF1"/>
    <w:rsid w:val="00BD24DC"/>
    <w:rsid w:val="00BD40A2"/>
    <w:rsid w:val="00BE4643"/>
    <w:rsid w:val="00BE5A35"/>
    <w:rsid w:val="00BE6933"/>
    <w:rsid w:val="00BE7C02"/>
    <w:rsid w:val="00BE7D96"/>
    <w:rsid w:val="00BF0368"/>
    <w:rsid w:val="00BF13BC"/>
    <w:rsid w:val="00BF2764"/>
    <w:rsid w:val="00BF57D7"/>
    <w:rsid w:val="00BF7BC9"/>
    <w:rsid w:val="00C108A1"/>
    <w:rsid w:val="00C13D42"/>
    <w:rsid w:val="00C17350"/>
    <w:rsid w:val="00C21FA0"/>
    <w:rsid w:val="00C2761A"/>
    <w:rsid w:val="00C27D45"/>
    <w:rsid w:val="00C31194"/>
    <w:rsid w:val="00C31399"/>
    <w:rsid w:val="00C31A5F"/>
    <w:rsid w:val="00C31A9E"/>
    <w:rsid w:val="00C3491A"/>
    <w:rsid w:val="00C36DF6"/>
    <w:rsid w:val="00C467AA"/>
    <w:rsid w:val="00C60219"/>
    <w:rsid w:val="00C63AAA"/>
    <w:rsid w:val="00C65C67"/>
    <w:rsid w:val="00C6610F"/>
    <w:rsid w:val="00C679F1"/>
    <w:rsid w:val="00C72D1F"/>
    <w:rsid w:val="00C73B37"/>
    <w:rsid w:val="00C74CB2"/>
    <w:rsid w:val="00C767B1"/>
    <w:rsid w:val="00C80605"/>
    <w:rsid w:val="00C829C3"/>
    <w:rsid w:val="00C87FC0"/>
    <w:rsid w:val="00C90208"/>
    <w:rsid w:val="00C967C4"/>
    <w:rsid w:val="00CA15DF"/>
    <w:rsid w:val="00CA2023"/>
    <w:rsid w:val="00CA22A9"/>
    <w:rsid w:val="00CA2E28"/>
    <w:rsid w:val="00CA362D"/>
    <w:rsid w:val="00CA4250"/>
    <w:rsid w:val="00CB0FE3"/>
    <w:rsid w:val="00CB57EF"/>
    <w:rsid w:val="00CB5FCA"/>
    <w:rsid w:val="00CB6808"/>
    <w:rsid w:val="00CC6326"/>
    <w:rsid w:val="00CD04EF"/>
    <w:rsid w:val="00CD1407"/>
    <w:rsid w:val="00CD1819"/>
    <w:rsid w:val="00CD20A5"/>
    <w:rsid w:val="00CD2154"/>
    <w:rsid w:val="00CD599F"/>
    <w:rsid w:val="00CD67D7"/>
    <w:rsid w:val="00CE2B3E"/>
    <w:rsid w:val="00CE30B2"/>
    <w:rsid w:val="00D007D1"/>
    <w:rsid w:val="00D01B1C"/>
    <w:rsid w:val="00D03DAF"/>
    <w:rsid w:val="00D06C38"/>
    <w:rsid w:val="00D10C65"/>
    <w:rsid w:val="00D11115"/>
    <w:rsid w:val="00D12882"/>
    <w:rsid w:val="00D165F1"/>
    <w:rsid w:val="00D32067"/>
    <w:rsid w:val="00D35A7F"/>
    <w:rsid w:val="00D37A4D"/>
    <w:rsid w:val="00D436D8"/>
    <w:rsid w:val="00D45B96"/>
    <w:rsid w:val="00D54BAC"/>
    <w:rsid w:val="00D67A5C"/>
    <w:rsid w:val="00D67F38"/>
    <w:rsid w:val="00D71D66"/>
    <w:rsid w:val="00D756FA"/>
    <w:rsid w:val="00D7712E"/>
    <w:rsid w:val="00D77A12"/>
    <w:rsid w:val="00D77BC3"/>
    <w:rsid w:val="00D84258"/>
    <w:rsid w:val="00D8713B"/>
    <w:rsid w:val="00D942AC"/>
    <w:rsid w:val="00D9707D"/>
    <w:rsid w:val="00D97D83"/>
    <w:rsid w:val="00DA0BD8"/>
    <w:rsid w:val="00DA23B8"/>
    <w:rsid w:val="00DA26E3"/>
    <w:rsid w:val="00DA42F2"/>
    <w:rsid w:val="00DC07A0"/>
    <w:rsid w:val="00DC2315"/>
    <w:rsid w:val="00DC2BA3"/>
    <w:rsid w:val="00DC2CC1"/>
    <w:rsid w:val="00DC5806"/>
    <w:rsid w:val="00DC5C9C"/>
    <w:rsid w:val="00DC5E8B"/>
    <w:rsid w:val="00DC696B"/>
    <w:rsid w:val="00DC69B1"/>
    <w:rsid w:val="00DC7C84"/>
    <w:rsid w:val="00DD00A7"/>
    <w:rsid w:val="00DD2EDC"/>
    <w:rsid w:val="00DE06C1"/>
    <w:rsid w:val="00DE26FA"/>
    <w:rsid w:val="00DE4BCA"/>
    <w:rsid w:val="00DF0874"/>
    <w:rsid w:val="00DF1D9B"/>
    <w:rsid w:val="00DF682B"/>
    <w:rsid w:val="00DF78BA"/>
    <w:rsid w:val="00E002AA"/>
    <w:rsid w:val="00E02EB6"/>
    <w:rsid w:val="00E03701"/>
    <w:rsid w:val="00E04423"/>
    <w:rsid w:val="00E06FC6"/>
    <w:rsid w:val="00E133B1"/>
    <w:rsid w:val="00E14C92"/>
    <w:rsid w:val="00E160AA"/>
    <w:rsid w:val="00E176D4"/>
    <w:rsid w:val="00E20AA4"/>
    <w:rsid w:val="00E25A14"/>
    <w:rsid w:val="00E30006"/>
    <w:rsid w:val="00E31192"/>
    <w:rsid w:val="00E32714"/>
    <w:rsid w:val="00E33D12"/>
    <w:rsid w:val="00E35FAB"/>
    <w:rsid w:val="00E4028D"/>
    <w:rsid w:val="00E41EF9"/>
    <w:rsid w:val="00E42E35"/>
    <w:rsid w:val="00E4712E"/>
    <w:rsid w:val="00E50940"/>
    <w:rsid w:val="00E53289"/>
    <w:rsid w:val="00E62608"/>
    <w:rsid w:val="00E677B5"/>
    <w:rsid w:val="00E716D7"/>
    <w:rsid w:val="00E71BA0"/>
    <w:rsid w:val="00E77EC8"/>
    <w:rsid w:val="00E80444"/>
    <w:rsid w:val="00E81990"/>
    <w:rsid w:val="00E829D4"/>
    <w:rsid w:val="00E86493"/>
    <w:rsid w:val="00E90712"/>
    <w:rsid w:val="00E93E1E"/>
    <w:rsid w:val="00E95994"/>
    <w:rsid w:val="00E97738"/>
    <w:rsid w:val="00EA42AF"/>
    <w:rsid w:val="00EA4B89"/>
    <w:rsid w:val="00EA7ABA"/>
    <w:rsid w:val="00EA7BAF"/>
    <w:rsid w:val="00EB08CF"/>
    <w:rsid w:val="00EC0823"/>
    <w:rsid w:val="00EC09C5"/>
    <w:rsid w:val="00EC4D81"/>
    <w:rsid w:val="00EC569C"/>
    <w:rsid w:val="00EC739F"/>
    <w:rsid w:val="00ED3015"/>
    <w:rsid w:val="00ED4036"/>
    <w:rsid w:val="00ED4879"/>
    <w:rsid w:val="00ED4F18"/>
    <w:rsid w:val="00EE19AD"/>
    <w:rsid w:val="00EE3247"/>
    <w:rsid w:val="00EE526F"/>
    <w:rsid w:val="00EE5ACB"/>
    <w:rsid w:val="00EE6B53"/>
    <w:rsid w:val="00EF0E62"/>
    <w:rsid w:val="00EF3A5E"/>
    <w:rsid w:val="00EF4517"/>
    <w:rsid w:val="00EF4CE6"/>
    <w:rsid w:val="00EF56C2"/>
    <w:rsid w:val="00F015E6"/>
    <w:rsid w:val="00F04FA8"/>
    <w:rsid w:val="00F11247"/>
    <w:rsid w:val="00F14ECE"/>
    <w:rsid w:val="00F17E2E"/>
    <w:rsid w:val="00F21DA0"/>
    <w:rsid w:val="00F22BA9"/>
    <w:rsid w:val="00F235B0"/>
    <w:rsid w:val="00F265F0"/>
    <w:rsid w:val="00F26A7A"/>
    <w:rsid w:val="00F3407A"/>
    <w:rsid w:val="00F35B6B"/>
    <w:rsid w:val="00F45529"/>
    <w:rsid w:val="00F465DC"/>
    <w:rsid w:val="00F46E35"/>
    <w:rsid w:val="00F5006E"/>
    <w:rsid w:val="00F573AF"/>
    <w:rsid w:val="00F574E8"/>
    <w:rsid w:val="00F63B28"/>
    <w:rsid w:val="00F71BC7"/>
    <w:rsid w:val="00F8062F"/>
    <w:rsid w:val="00F80C34"/>
    <w:rsid w:val="00F90F27"/>
    <w:rsid w:val="00F929C2"/>
    <w:rsid w:val="00F95E08"/>
    <w:rsid w:val="00F96051"/>
    <w:rsid w:val="00FA5F7D"/>
    <w:rsid w:val="00FB1366"/>
    <w:rsid w:val="00FB61D5"/>
    <w:rsid w:val="00FC4C44"/>
    <w:rsid w:val="00FC79D7"/>
    <w:rsid w:val="00FD19C6"/>
    <w:rsid w:val="00FD3B58"/>
    <w:rsid w:val="00FE07D1"/>
    <w:rsid w:val="00FE35DF"/>
    <w:rsid w:val="00FE4549"/>
    <w:rsid w:val="00FE6DC9"/>
    <w:rsid w:val="00FE76C9"/>
    <w:rsid w:val="01C6081D"/>
    <w:rsid w:val="0396211E"/>
    <w:rsid w:val="040C70B8"/>
    <w:rsid w:val="048356C2"/>
    <w:rsid w:val="06C61515"/>
    <w:rsid w:val="07406A2D"/>
    <w:rsid w:val="08335DA8"/>
    <w:rsid w:val="08511B03"/>
    <w:rsid w:val="0A4A0F15"/>
    <w:rsid w:val="0C3D6E4B"/>
    <w:rsid w:val="0CA14260"/>
    <w:rsid w:val="0E372F95"/>
    <w:rsid w:val="0F202F07"/>
    <w:rsid w:val="0F7F7A9C"/>
    <w:rsid w:val="10393859"/>
    <w:rsid w:val="111F03D8"/>
    <w:rsid w:val="12E0534B"/>
    <w:rsid w:val="143570C3"/>
    <w:rsid w:val="14B54C74"/>
    <w:rsid w:val="14F12CFE"/>
    <w:rsid w:val="184941FD"/>
    <w:rsid w:val="1965348B"/>
    <w:rsid w:val="19CC1262"/>
    <w:rsid w:val="1A4A1518"/>
    <w:rsid w:val="1C83130A"/>
    <w:rsid w:val="1D8E2655"/>
    <w:rsid w:val="1E8D37C0"/>
    <w:rsid w:val="1EDF5BAD"/>
    <w:rsid w:val="1F5F2A1E"/>
    <w:rsid w:val="1F873F05"/>
    <w:rsid w:val="21BB336B"/>
    <w:rsid w:val="22EB6C48"/>
    <w:rsid w:val="235627B3"/>
    <w:rsid w:val="28047B64"/>
    <w:rsid w:val="287603A7"/>
    <w:rsid w:val="29A05BEF"/>
    <w:rsid w:val="2A736D9D"/>
    <w:rsid w:val="2BD40EB0"/>
    <w:rsid w:val="2D5D3182"/>
    <w:rsid w:val="2F3276C7"/>
    <w:rsid w:val="2F9E15F6"/>
    <w:rsid w:val="3029612C"/>
    <w:rsid w:val="306B6BAB"/>
    <w:rsid w:val="30C46074"/>
    <w:rsid w:val="33A53EC8"/>
    <w:rsid w:val="34151D8E"/>
    <w:rsid w:val="341D7E87"/>
    <w:rsid w:val="34C80BDF"/>
    <w:rsid w:val="36E55085"/>
    <w:rsid w:val="37751AF0"/>
    <w:rsid w:val="3A601CA4"/>
    <w:rsid w:val="3A9D5D02"/>
    <w:rsid w:val="3C831334"/>
    <w:rsid w:val="3D6B5CC3"/>
    <w:rsid w:val="3F457B27"/>
    <w:rsid w:val="3FFA1EC7"/>
    <w:rsid w:val="408978EB"/>
    <w:rsid w:val="451A5EF2"/>
    <w:rsid w:val="45D61170"/>
    <w:rsid w:val="47480D31"/>
    <w:rsid w:val="474C413B"/>
    <w:rsid w:val="48B9451E"/>
    <w:rsid w:val="493C4A74"/>
    <w:rsid w:val="49695AF7"/>
    <w:rsid w:val="499D7B84"/>
    <w:rsid w:val="49A46A9C"/>
    <w:rsid w:val="49C010F7"/>
    <w:rsid w:val="4DF07E6B"/>
    <w:rsid w:val="4EC10820"/>
    <w:rsid w:val="55256E16"/>
    <w:rsid w:val="568A134B"/>
    <w:rsid w:val="57165D3A"/>
    <w:rsid w:val="57BE3CD2"/>
    <w:rsid w:val="59334136"/>
    <w:rsid w:val="59C344E4"/>
    <w:rsid w:val="59E253A8"/>
    <w:rsid w:val="5AF54DB1"/>
    <w:rsid w:val="5B7820C2"/>
    <w:rsid w:val="5B822F01"/>
    <w:rsid w:val="5C1D7806"/>
    <w:rsid w:val="5CD3076E"/>
    <w:rsid w:val="615B12C7"/>
    <w:rsid w:val="64A81D34"/>
    <w:rsid w:val="6910451E"/>
    <w:rsid w:val="69134930"/>
    <w:rsid w:val="6D74345B"/>
    <w:rsid w:val="6EFC61DE"/>
    <w:rsid w:val="6F130D6B"/>
    <w:rsid w:val="6FDB6DB6"/>
    <w:rsid w:val="71241F08"/>
    <w:rsid w:val="71E749BC"/>
    <w:rsid w:val="74B73D3A"/>
    <w:rsid w:val="74F07550"/>
    <w:rsid w:val="758A453A"/>
    <w:rsid w:val="76C35B86"/>
    <w:rsid w:val="773C174A"/>
    <w:rsid w:val="777C730B"/>
    <w:rsid w:val="7B016CDB"/>
    <w:rsid w:val="7C39190A"/>
    <w:rsid w:val="7C601D5B"/>
    <w:rsid w:val="7E6C272D"/>
    <w:rsid w:val="7FE402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heme="minorBidi"/>
      <w:kern w:val="2"/>
      <w:sz w:val="21"/>
      <w:szCs w:val="22"/>
      <w:lang w:val="en-US" w:eastAsia="zh-CN" w:bidi="ar-SA"/>
    </w:rPr>
  </w:style>
  <w:style w:type="paragraph" w:styleId="2">
    <w:name w:val="heading 1"/>
    <w:basedOn w:val="1"/>
    <w:next w:val="1"/>
    <w:link w:val="25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1"/>
    <w:semiHidden/>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52"/>
    <w:semiHidden/>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153"/>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54"/>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155"/>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156"/>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157"/>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158"/>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252"/>
    <w:qFormat/>
    <w:uiPriority w:val="0"/>
    <w:pPr>
      <w:spacing w:line="360" w:lineRule="auto"/>
      <w:textAlignment w:val="baseline"/>
    </w:pPr>
    <w:rPr>
      <w:rFonts w:hAnsi="宋体" w:cs="Times New Roman"/>
      <w:sz w:val="24"/>
      <w:szCs w:val="24"/>
    </w:rPr>
  </w:style>
  <w:style w:type="paragraph" w:styleId="12">
    <w:name w:val="Balloon Text"/>
    <w:basedOn w:val="1"/>
    <w:link w:val="254"/>
    <w:semiHidden/>
    <w:unhideWhenUsed/>
    <w:qFormat/>
    <w:uiPriority w:val="99"/>
    <w:rPr>
      <w:sz w:val="18"/>
      <w:szCs w:val="18"/>
    </w:rPr>
  </w:style>
  <w:style w:type="paragraph" w:styleId="13">
    <w:name w:val="footer"/>
    <w:basedOn w:val="1"/>
    <w:link w:val="233"/>
    <w:unhideWhenUsed/>
    <w:qFormat/>
    <w:uiPriority w:val="99"/>
    <w:pPr>
      <w:tabs>
        <w:tab w:val="center" w:pos="4153"/>
        <w:tab w:val="right" w:pos="8306"/>
      </w:tabs>
      <w:snapToGrid w:val="0"/>
      <w:jc w:val="left"/>
    </w:pPr>
    <w:rPr>
      <w:sz w:val="18"/>
      <w:szCs w:val="18"/>
    </w:rPr>
  </w:style>
  <w:style w:type="paragraph" w:styleId="14">
    <w:name w:val="header"/>
    <w:basedOn w:val="1"/>
    <w:link w:val="232"/>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footnote text"/>
    <w:basedOn w:val="1"/>
    <w:link w:val="197"/>
    <w:semiHidden/>
    <w:unhideWhenUsed/>
    <w:qFormat/>
    <w:uiPriority w:val="99"/>
    <w:pPr>
      <w:widowControl/>
      <w:autoSpaceDE w:val="0"/>
      <w:autoSpaceDN w:val="0"/>
      <w:ind w:left="403" w:leftChars="200" w:hanging="198" w:hangingChars="200"/>
    </w:pPr>
    <w:rPr>
      <w:rFonts w:hAnsi="宋体"/>
      <w:sz w:val="15"/>
      <w:szCs w:val="18"/>
    </w:rPr>
  </w:style>
  <w:style w:type="paragraph" w:styleId="16">
    <w:name w:val="Normal (Web)"/>
    <w:basedOn w:val="1"/>
    <w:semiHidden/>
    <w:unhideWhenUsed/>
    <w:qFormat/>
    <w:uiPriority w:val="99"/>
    <w:pPr>
      <w:widowControl/>
      <w:spacing w:before="100" w:beforeAutospacing="1" w:after="100" w:afterAutospacing="1"/>
      <w:jc w:val="left"/>
    </w:pPr>
    <w:rPr>
      <w:rFonts w:hAnsi="宋体" w:cs="宋体"/>
      <w:kern w:val="0"/>
      <w:sz w:val="24"/>
      <w:szCs w:val="24"/>
    </w:rPr>
  </w:style>
  <w:style w:type="table" w:styleId="18">
    <w:name w:val="Table Grid"/>
    <w:basedOn w:val="17"/>
    <w:qFormat/>
    <w:uiPriority w:val="0"/>
    <w:pPr>
      <w:numPr>
        <w:numId w:val="2"/>
      </w:numPr>
      <w:tabs>
        <w:tab w:val="left" w:pos="850"/>
      </w:tabs>
    </w:pPr>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0">
    <w:name w:val="Emphasis"/>
    <w:basedOn w:val="19"/>
    <w:qFormat/>
    <w:uiPriority w:val="20"/>
    <w:rPr>
      <w:i/>
      <w:iCs/>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footnote reference"/>
    <w:basedOn w:val="19"/>
    <w:semiHidden/>
    <w:unhideWhenUsed/>
    <w:qFormat/>
    <w:uiPriority w:val="99"/>
    <w:rPr>
      <w:rFonts w:ascii="宋体" w:hAnsi="宋体" w:eastAsia="宋体"/>
      <w:sz w:val="18"/>
      <w:vertAlign w:val="superscript"/>
    </w:rPr>
  </w:style>
  <w:style w:type="paragraph" w:customStyle="1" w:styleId="23">
    <w:name w:val="标准文件_段"/>
    <w:link w:val="24"/>
    <w:qFormat/>
    <w:uiPriority w:val="0"/>
    <w:pPr>
      <w:ind w:firstLine="198" w:firstLineChars="200"/>
      <w:jc w:val="both"/>
    </w:pPr>
    <w:rPr>
      <w:rFonts w:ascii="宋体" w:hAnsi="Times New Roman" w:eastAsia="宋体" w:cstheme="minorBidi"/>
      <w:sz w:val="21"/>
      <w:lang w:val="en-US" w:eastAsia="zh-CN" w:bidi="ar-SA"/>
    </w:rPr>
  </w:style>
  <w:style w:type="character" w:customStyle="1" w:styleId="24">
    <w:name w:val="标准文件_段 字符"/>
    <w:basedOn w:val="19"/>
    <w:link w:val="23"/>
    <w:qFormat/>
    <w:uiPriority w:val="0"/>
    <w:rPr>
      <w:rFonts w:ascii="宋体" w:hAnsi="Times New Roman" w:eastAsia="宋体"/>
      <w:sz w:val="21"/>
    </w:rPr>
  </w:style>
  <w:style w:type="paragraph" w:customStyle="1" w:styleId="25">
    <w:name w:val="标准标志"/>
    <w:next w:val="1"/>
    <w:link w:val="26"/>
    <w:qFormat/>
    <w:uiPriority w:val="0"/>
    <w:pPr>
      <w:framePr w:w="2546" w:h="1134" w:hRule="exact" w:hSpace="181" w:wrap="around" w:vAnchor="margin" w:hAnchor="margin" w:x="6520" w:y="420" w:anchorLock="1"/>
      <w:shd w:val="clear" w:color="auto" w:fill="FFFFFF"/>
      <w:spacing w:line="14" w:lineRule="atLeast"/>
      <w:jc w:val="right"/>
    </w:pPr>
    <w:rPr>
      <w:rFonts w:ascii="Times New Roman" w:hAnsi="Times New Roman" w:eastAsia="宋体" w:cs="Times New Roman"/>
      <w:b/>
      <w:w w:val="170"/>
      <w:sz w:val="96"/>
      <w:szCs w:val="22"/>
      <w:lang w:val="en-US" w:eastAsia="zh-CN" w:bidi="ar-SA"/>
    </w:rPr>
  </w:style>
  <w:style w:type="character" w:customStyle="1" w:styleId="26">
    <w:name w:val="标准标志 字符"/>
    <w:basedOn w:val="19"/>
    <w:link w:val="25"/>
    <w:qFormat/>
    <w:uiPriority w:val="0"/>
    <w:rPr>
      <w:rFonts w:ascii="Times New Roman" w:hAnsi="Times New Roman" w:eastAsia="宋体" w:cs="Times New Roman"/>
      <w:b/>
      <w:w w:val="170"/>
      <w:kern w:val="0"/>
      <w:sz w:val="96"/>
      <w:shd w:val="clear" w:color="auto" w:fill="FFFFFF"/>
    </w:rPr>
  </w:style>
  <w:style w:type="paragraph" w:customStyle="1" w:styleId="27">
    <w:name w:val="标准标志2"/>
    <w:next w:val="1"/>
    <w:link w:val="28"/>
    <w:qFormat/>
    <w:uiPriority w:val="0"/>
    <w:pPr>
      <w:framePr w:wrap="around" w:vAnchor="margin" w:hAnchor="margin" w:x="5613" w:y="397" w:anchorLock="1"/>
      <w:shd w:val="clear" w:color="auto" w:fill="FFFFFF"/>
      <w:spacing w:line="14" w:lineRule="atLeast"/>
      <w:jc w:val="right"/>
    </w:pPr>
    <w:rPr>
      <w:rFonts w:ascii="Times New Roman" w:hAnsi="Times New Roman" w:eastAsia="宋体" w:cs="Times New Roman"/>
      <w:b/>
      <w:w w:val="130"/>
      <w:sz w:val="96"/>
      <w:szCs w:val="22"/>
      <w:lang w:val="en-US" w:eastAsia="zh-CN" w:bidi="ar-SA"/>
    </w:rPr>
  </w:style>
  <w:style w:type="character" w:customStyle="1" w:styleId="28">
    <w:name w:val="标准标志2 字符"/>
    <w:basedOn w:val="19"/>
    <w:link w:val="27"/>
    <w:qFormat/>
    <w:uiPriority w:val="0"/>
    <w:rPr>
      <w:rFonts w:ascii="Times New Roman" w:hAnsi="Times New Roman" w:eastAsia="宋体" w:cs="Times New Roman"/>
      <w:b/>
      <w:w w:val="130"/>
      <w:kern w:val="0"/>
      <w:sz w:val="96"/>
      <w:shd w:val="clear" w:color="auto" w:fill="FFFFFF"/>
    </w:rPr>
  </w:style>
  <w:style w:type="paragraph" w:customStyle="1" w:styleId="29">
    <w:name w:val="标准称谓"/>
    <w:next w:val="1"/>
    <w:link w:val="30"/>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宋体" w:hAnsi="Times New Roman" w:eastAsia="宋体" w:cs="Times New Roman"/>
      <w:b/>
      <w:w w:val="148"/>
      <w:sz w:val="48"/>
      <w:szCs w:val="22"/>
      <w:lang w:val="en-US" w:eastAsia="zh-CN" w:bidi="ar-SA"/>
    </w:rPr>
  </w:style>
  <w:style w:type="character" w:customStyle="1" w:styleId="30">
    <w:name w:val="标准称谓 字符"/>
    <w:basedOn w:val="19"/>
    <w:link w:val="29"/>
    <w:qFormat/>
    <w:uiPriority w:val="0"/>
    <w:rPr>
      <w:rFonts w:ascii="宋体" w:hAnsi="Times New Roman" w:eastAsia="宋体" w:cs="Times New Roman"/>
      <w:b/>
      <w:w w:val="148"/>
      <w:kern w:val="0"/>
      <w:sz w:val="48"/>
    </w:rPr>
  </w:style>
  <w:style w:type="paragraph" w:customStyle="1" w:styleId="31">
    <w:name w:val="标准称谓2"/>
    <w:next w:val="1"/>
    <w:link w:val="32"/>
    <w:qFormat/>
    <w:uiPriority w:val="0"/>
    <w:pPr>
      <w:framePr w:w="6780" w:h="907" w:hRule="exact" w:hSpace="181" w:vSpace="181" w:wrap="around" w:vAnchor="page" w:hAnchor="page" w:xAlign="center" w:y="2268" w:anchorLock="1"/>
      <w:widowControl w:val="0"/>
      <w:kinsoku w:val="0"/>
      <w:overflowPunct w:val="0"/>
      <w:autoSpaceDE w:val="0"/>
      <w:autoSpaceDN w:val="0"/>
      <w:spacing w:line="14" w:lineRule="atLeast"/>
      <w:jc w:val="distribute"/>
    </w:pPr>
    <w:rPr>
      <w:rFonts w:ascii="Times New Roman" w:hAnsi="Times New Roman" w:eastAsia="黑体" w:cs="Times New Roman"/>
      <w:spacing w:val="-39"/>
      <w:kern w:val="2"/>
      <w:sz w:val="72"/>
      <w:szCs w:val="72"/>
      <w:lang w:val="en-US" w:eastAsia="zh-CN" w:bidi="ar-SA"/>
    </w:rPr>
  </w:style>
  <w:style w:type="character" w:customStyle="1" w:styleId="32">
    <w:name w:val="标准称谓2 字符"/>
    <w:basedOn w:val="19"/>
    <w:link w:val="31"/>
    <w:qFormat/>
    <w:uiPriority w:val="0"/>
    <w:rPr>
      <w:rFonts w:ascii="Times New Roman" w:hAnsi="Times New Roman" w:eastAsia="黑体" w:cs="Times New Roman"/>
      <w:spacing w:val="-39"/>
      <w:sz w:val="72"/>
      <w:szCs w:val="72"/>
    </w:rPr>
  </w:style>
  <w:style w:type="paragraph" w:customStyle="1" w:styleId="33">
    <w:name w:val="标准称谓3"/>
    <w:next w:val="1"/>
    <w:link w:val="34"/>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黑体" w:hAnsi="Times New Roman" w:eastAsia="黑体" w:cs="Times New Roman"/>
      <w:sz w:val="48"/>
      <w:lang w:val="en-US" w:eastAsia="zh-CN" w:bidi="ar-SA"/>
    </w:rPr>
  </w:style>
  <w:style w:type="character" w:customStyle="1" w:styleId="34">
    <w:name w:val="标准称谓3 字符"/>
    <w:basedOn w:val="19"/>
    <w:link w:val="33"/>
    <w:qFormat/>
    <w:uiPriority w:val="0"/>
    <w:rPr>
      <w:rFonts w:ascii="黑体" w:hAnsi="Times New Roman" w:eastAsia="黑体" w:cs="Times New Roman"/>
      <w:sz w:val="48"/>
    </w:rPr>
  </w:style>
  <w:style w:type="paragraph" w:customStyle="1" w:styleId="35">
    <w:name w:val="标准书脚_奇数页"/>
    <w:link w:val="36"/>
    <w:qFormat/>
    <w:uiPriority w:val="0"/>
    <w:pPr>
      <w:ind w:right="227"/>
      <w:jc w:val="right"/>
    </w:pPr>
    <w:rPr>
      <w:rFonts w:ascii="宋体" w:hAnsi="Times New Roman" w:eastAsia="宋体" w:cstheme="minorBidi"/>
      <w:sz w:val="18"/>
      <w:lang w:val="en-US" w:eastAsia="zh-CN" w:bidi="ar-SA"/>
    </w:rPr>
  </w:style>
  <w:style w:type="character" w:customStyle="1" w:styleId="36">
    <w:name w:val="标准书脚_奇数页 字符"/>
    <w:basedOn w:val="19"/>
    <w:link w:val="35"/>
    <w:qFormat/>
    <w:uiPriority w:val="0"/>
    <w:rPr>
      <w:rFonts w:ascii="宋体" w:hAnsi="Times New Roman" w:eastAsia="宋体"/>
      <w:sz w:val="18"/>
    </w:rPr>
  </w:style>
  <w:style w:type="paragraph" w:customStyle="1" w:styleId="37">
    <w:name w:val="标准书眉_奇数页"/>
    <w:next w:val="1"/>
    <w:link w:val="38"/>
    <w:qFormat/>
    <w:uiPriority w:val="0"/>
    <w:pPr>
      <w:tabs>
        <w:tab w:val="center" w:pos="4153"/>
        <w:tab w:val="right" w:pos="8306"/>
      </w:tabs>
      <w:spacing w:after="120"/>
      <w:jc w:val="right"/>
    </w:pPr>
    <w:rPr>
      <w:rFonts w:ascii="黑体" w:hAnsi="Times New Roman" w:eastAsia="黑体" w:cstheme="minorBidi"/>
      <w:sz w:val="21"/>
      <w:lang w:val="en-US" w:eastAsia="zh-CN" w:bidi="ar-SA"/>
    </w:rPr>
  </w:style>
  <w:style w:type="character" w:customStyle="1" w:styleId="38">
    <w:name w:val="标准书眉_奇数页 字符"/>
    <w:basedOn w:val="19"/>
    <w:link w:val="37"/>
    <w:qFormat/>
    <w:uiPriority w:val="0"/>
    <w:rPr>
      <w:rFonts w:ascii="黑体" w:hAnsi="Times New Roman" w:eastAsia="黑体"/>
      <w:sz w:val="21"/>
    </w:rPr>
  </w:style>
  <w:style w:type="paragraph" w:customStyle="1" w:styleId="39">
    <w:name w:val="标准书眉_偶数页"/>
    <w:next w:val="1"/>
    <w:link w:val="40"/>
    <w:qFormat/>
    <w:uiPriority w:val="0"/>
    <w:pPr>
      <w:spacing w:after="120"/>
    </w:pPr>
    <w:rPr>
      <w:rFonts w:ascii="黑体" w:hAnsi="Times New Roman" w:eastAsia="黑体" w:cstheme="minorBidi"/>
      <w:sz w:val="21"/>
      <w:szCs w:val="22"/>
      <w:lang w:val="en-US" w:eastAsia="zh-CN" w:bidi="ar-SA"/>
    </w:rPr>
  </w:style>
  <w:style w:type="character" w:customStyle="1" w:styleId="40">
    <w:name w:val="标准书眉_偶数页 字符"/>
    <w:basedOn w:val="19"/>
    <w:link w:val="39"/>
    <w:qFormat/>
    <w:uiPriority w:val="0"/>
    <w:rPr>
      <w:rFonts w:ascii="黑体" w:hAnsi="Times New Roman" w:eastAsia="黑体"/>
      <w:kern w:val="0"/>
    </w:rPr>
  </w:style>
  <w:style w:type="paragraph" w:customStyle="1" w:styleId="41">
    <w:name w:val="标准文件_参考文献标题"/>
    <w:basedOn w:val="1"/>
    <w:next w:val="1"/>
    <w:link w:val="42"/>
    <w:qFormat/>
    <w:uiPriority w:val="0"/>
    <w:pPr>
      <w:widowControl/>
      <w:spacing w:beforeLines="40" w:afterLines="50"/>
      <w:jc w:val="center"/>
      <w:outlineLvl w:val="0"/>
    </w:pPr>
    <w:rPr>
      <w:rFonts w:ascii="黑体" w:eastAsia="黑体"/>
      <w:kern w:val="0"/>
    </w:rPr>
  </w:style>
  <w:style w:type="character" w:customStyle="1" w:styleId="42">
    <w:name w:val="标准文件_参考文献标题 字符"/>
    <w:basedOn w:val="19"/>
    <w:link w:val="41"/>
    <w:qFormat/>
    <w:uiPriority w:val="0"/>
    <w:rPr>
      <w:rFonts w:ascii="黑体" w:hAnsi="Times New Roman" w:eastAsia="黑体"/>
      <w:kern w:val="0"/>
    </w:rPr>
  </w:style>
  <w:style w:type="paragraph" w:customStyle="1" w:styleId="43">
    <w:name w:val="封面标准顶部线"/>
    <w:link w:val="44"/>
    <w:qFormat/>
    <w:uiPriority w:val="0"/>
    <w:pPr>
      <w:framePr w:w="9672" w:hSpace="181" w:wrap="around" w:vAnchor="page" w:hAnchor="page" w:x="1389" w:y="4241"/>
      <w:spacing w:line="14" w:lineRule="atLeast"/>
    </w:pPr>
    <w:rPr>
      <w:rFonts w:ascii="宋体" w:hAnsi="Times New Roman" w:eastAsia="宋体" w:cs="Times New Roman"/>
      <w:sz w:val="21"/>
      <w:lang w:val="en-US" w:eastAsia="zh-CN" w:bidi="ar-SA"/>
    </w:rPr>
  </w:style>
  <w:style w:type="character" w:customStyle="1" w:styleId="44">
    <w:name w:val="封面标准顶部线 字符"/>
    <w:basedOn w:val="19"/>
    <w:link w:val="43"/>
    <w:qFormat/>
    <w:uiPriority w:val="0"/>
    <w:rPr>
      <w:rFonts w:ascii="宋体" w:hAnsi="Times New Roman" w:eastAsia="宋体" w:cs="Times New Roman"/>
      <w:sz w:val="21"/>
    </w:rPr>
  </w:style>
  <w:style w:type="paragraph" w:customStyle="1" w:styleId="45">
    <w:name w:val="发布部门"/>
    <w:next w:val="23"/>
    <w:link w:val="46"/>
    <w:qFormat/>
    <w:uiPriority w:val="0"/>
    <w:pPr>
      <w:framePr w:w="7937" w:h="1134" w:hRule="exact" w:hSpace="125" w:vSpace="181" w:wrap="around" w:vAnchor="page" w:hAnchor="page" w:x="2149" w:y="14627" w:anchorLock="1"/>
      <w:spacing w:before="100"/>
      <w:jc w:val="center"/>
    </w:pPr>
    <w:rPr>
      <w:rFonts w:ascii="宋体" w:hAnsi="Times New Roman" w:eastAsia="宋体" w:cs="Times New Roman"/>
      <w:spacing w:val="20"/>
      <w:w w:val="135"/>
      <w:sz w:val="28"/>
      <w:szCs w:val="22"/>
      <w:lang w:val="en-US" w:eastAsia="zh-CN" w:bidi="ar-SA"/>
    </w:rPr>
  </w:style>
  <w:style w:type="character" w:customStyle="1" w:styleId="46">
    <w:name w:val="发布部门 字符"/>
    <w:basedOn w:val="19"/>
    <w:link w:val="45"/>
    <w:qFormat/>
    <w:uiPriority w:val="0"/>
    <w:rPr>
      <w:rFonts w:ascii="宋体" w:hAnsi="Times New Roman" w:eastAsia="宋体" w:cs="Times New Roman"/>
      <w:spacing w:val="20"/>
      <w:w w:val="135"/>
      <w:kern w:val="0"/>
      <w:sz w:val="28"/>
    </w:rPr>
  </w:style>
  <w:style w:type="paragraph" w:customStyle="1" w:styleId="47">
    <w:name w:val="发布日期"/>
    <w:link w:val="48"/>
    <w:qFormat/>
    <w:uiPriority w:val="0"/>
    <w:pPr>
      <w:framePr w:w="3997" w:h="471" w:hRule="exact" w:hSpace="181" w:vSpace="181" w:wrap="around" w:vAnchor="margin" w:hAnchor="page" w:y="14077" w:anchorLock="1"/>
      <w:spacing w:line="360" w:lineRule="exact"/>
    </w:pPr>
    <w:rPr>
      <w:rFonts w:ascii="黑体" w:hAnsi="Times New Roman" w:eastAsia="黑体" w:cs="Times New Roman"/>
      <w:sz w:val="28"/>
      <w:szCs w:val="22"/>
      <w:lang w:val="en-US" w:eastAsia="zh-CN" w:bidi="ar-SA"/>
    </w:rPr>
  </w:style>
  <w:style w:type="character" w:customStyle="1" w:styleId="48">
    <w:name w:val="发布日期 字符"/>
    <w:basedOn w:val="19"/>
    <w:link w:val="47"/>
    <w:qFormat/>
    <w:uiPriority w:val="0"/>
    <w:rPr>
      <w:rFonts w:ascii="黑体" w:hAnsi="Times New Roman" w:eastAsia="黑体" w:cs="Times New Roman"/>
      <w:kern w:val="0"/>
      <w:sz w:val="28"/>
    </w:rPr>
  </w:style>
  <w:style w:type="paragraph" w:customStyle="1" w:styleId="49">
    <w:name w:val="实施日期"/>
    <w:basedOn w:val="47"/>
    <w:link w:val="50"/>
    <w:qFormat/>
    <w:uiPriority w:val="0"/>
    <w:pPr>
      <w:framePr w:hSpace="0" w:wrap="around" w:vAnchor="page" w:hAnchor="text" w:x="7087" w:y="14174"/>
      <w:jc w:val="right"/>
    </w:pPr>
  </w:style>
  <w:style w:type="character" w:customStyle="1" w:styleId="50">
    <w:name w:val="实施日期 字符"/>
    <w:basedOn w:val="19"/>
    <w:link w:val="49"/>
    <w:qFormat/>
    <w:uiPriority w:val="0"/>
    <w:rPr>
      <w:rFonts w:ascii="黑体" w:hAnsi="Times New Roman" w:eastAsia="黑体" w:cs="Times New Roman"/>
      <w:kern w:val="0"/>
      <w:sz w:val="28"/>
    </w:rPr>
  </w:style>
  <w:style w:type="paragraph" w:customStyle="1" w:styleId="51">
    <w:name w:val="封面日期"/>
    <w:link w:val="52"/>
    <w:qFormat/>
    <w:uiPriority w:val="0"/>
    <w:pPr>
      <w:framePr w:w="9672" w:vSpace="181" w:wrap="around" w:vAnchor="page" w:hAnchor="page" w:x="1418" w:y="14174" w:anchorLock="1"/>
      <w:spacing w:line="360" w:lineRule="exact"/>
    </w:pPr>
    <w:rPr>
      <w:rFonts w:ascii="黑体" w:hAnsi="Times New Roman" w:eastAsia="黑体" w:cs="Times New Roman"/>
      <w:sz w:val="28"/>
      <w:lang w:val="en-US" w:eastAsia="zh-CN" w:bidi="ar-SA"/>
    </w:rPr>
  </w:style>
  <w:style w:type="character" w:customStyle="1" w:styleId="52">
    <w:name w:val="封面日期 字符"/>
    <w:basedOn w:val="19"/>
    <w:link w:val="51"/>
    <w:qFormat/>
    <w:uiPriority w:val="0"/>
    <w:rPr>
      <w:rFonts w:ascii="黑体" w:hAnsi="Times New Roman" w:eastAsia="黑体" w:cs="Times New Roman"/>
      <w:sz w:val="28"/>
    </w:rPr>
  </w:style>
  <w:style w:type="paragraph" w:customStyle="1" w:styleId="53">
    <w:name w:val="封面标准代替信息"/>
    <w:link w:val="54"/>
    <w:qFormat/>
    <w:uiPriority w:val="0"/>
    <w:pPr>
      <w:framePr w:w="9354" w:h="624" w:hRule="exact" w:hSpace="181" w:vSpace="181" w:wrap="around" w:vAnchor="page" w:hAnchor="page" w:x="1418" w:y="3283"/>
      <w:spacing w:before="57" w:line="280" w:lineRule="exact"/>
      <w:jc w:val="right"/>
    </w:pPr>
    <w:rPr>
      <w:rFonts w:ascii="黑体" w:hAnsi="Times New Roman" w:eastAsia="黑体" w:cs="Times New Roman"/>
      <w:sz w:val="21"/>
      <w:lang w:val="en-US" w:eastAsia="zh-CN" w:bidi="ar-SA"/>
    </w:rPr>
  </w:style>
  <w:style w:type="character" w:customStyle="1" w:styleId="54">
    <w:name w:val="封面标准代替信息 字符"/>
    <w:basedOn w:val="19"/>
    <w:link w:val="53"/>
    <w:qFormat/>
    <w:uiPriority w:val="0"/>
    <w:rPr>
      <w:rFonts w:ascii="黑体" w:hAnsi="Times New Roman" w:eastAsia="黑体" w:cs="Times New Roman"/>
      <w:sz w:val="21"/>
    </w:rPr>
  </w:style>
  <w:style w:type="paragraph" w:customStyle="1" w:styleId="55">
    <w:name w:val="封面标准号2"/>
    <w:link w:val="56"/>
    <w:qFormat/>
    <w:uiPriority w:val="0"/>
    <w:pPr>
      <w:framePr w:w="9354" w:h="624" w:hRule="exact" w:hSpace="181" w:vSpace="181" w:wrap="around" w:vAnchor="page" w:hAnchor="page" w:x="1418" w:y="3283"/>
      <w:spacing w:line="280" w:lineRule="exact"/>
      <w:jc w:val="right"/>
    </w:pPr>
    <w:rPr>
      <w:rFonts w:ascii="黑体" w:hAnsi="Times New Roman" w:eastAsia="黑体" w:cs="Times New Roman"/>
      <w:sz w:val="28"/>
      <w:lang w:val="en-US" w:eastAsia="zh-CN" w:bidi="ar-SA"/>
    </w:rPr>
  </w:style>
  <w:style w:type="character" w:customStyle="1" w:styleId="56">
    <w:name w:val="封面标准号2 字符"/>
    <w:basedOn w:val="19"/>
    <w:link w:val="55"/>
    <w:qFormat/>
    <w:uiPriority w:val="0"/>
    <w:rPr>
      <w:rFonts w:ascii="黑体" w:hAnsi="Times New Roman" w:eastAsia="黑体" w:cs="Times New Roman"/>
      <w:sz w:val="28"/>
    </w:rPr>
  </w:style>
  <w:style w:type="paragraph" w:customStyle="1" w:styleId="57">
    <w:name w:val="封面标准名称"/>
    <w:link w:val="58"/>
    <w:qFormat/>
    <w:uiPriority w:val="0"/>
    <w:pPr>
      <w:framePr w:w="9638" w:h="6973" w:hRule="exact" w:wrap="around" w:vAnchor="page" w:hAnchor="page" w:x="1418" w:y="6407"/>
      <w:spacing w:line="700" w:lineRule="exact"/>
      <w:jc w:val="center"/>
    </w:pPr>
    <w:rPr>
      <w:rFonts w:ascii="黑体" w:hAnsi="Times New Roman" w:eastAsia="黑体" w:cs="Times New Roman"/>
      <w:sz w:val="52"/>
      <w:lang w:val="en-US" w:eastAsia="zh-CN" w:bidi="ar-SA"/>
    </w:rPr>
  </w:style>
  <w:style w:type="character" w:customStyle="1" w:styleId="58">
    <w:name w:val="封面标准名称 字符"/>
    <w:basedOn w:val="19"/>
    <w:link w:val="57"/>
    <w:qFormat/>
    <w:uiPriority w:val="0"/>
    <w:rPr>
      <w:rFonts w:ascii="黑体" w:hAnsi="Times New Roman" w:eastAsia="黑体" w:cs="Times New Roman"/>
      <w:sz w:val="52"/>
    </w:rPr>
  </w:style>
  <w:style w:type="paragraph" w:customStyle="1" w:styleId="59">
    <w:name w:val="封面标准英文名称"/>
    <w:basedOn w:val="57"/>
    <w:link w:val="60"/>
    <w:qFormat/>
    <w:uiPriority w:val="0"/>
    <w:pPr>
      <w:framePr w:wrap="around"/>
      <w:widowControl w:val="0"/>
      <w:spacing w:before="410" w:line="360" w:lineRule="exact"/>
      <w:textAlignment w:val="bottom"/>
    </w:pPr>
    <w:rPr>
      <w:rFonts w:ascii="Times New Roman"/>
      <w:sz w:val="28"/>
    </w:rPr>
  </w:style>
  <w:style w:type="character" w:customStyle="1" w:styleId="60">
    <w:name w:val="封面标准英文名称 字符"/>
    <w:basedOn w:val="19"/>
    <w:link w:val="59"/>
    <w:qFormat/>
    <w:uiPriority w:val="0"/>
    <w:rPr>
      <w:rFonts w:ascii="Times New Roman" w:hAnsi="Times New Roman" w:eastAsia="黑体" w:cs="Times New Roman"/>
      <w:sz w:val="28"/>
    </w:rPr>
  </w:style>
  <w:style w:type="paragraph" w:customStyle="1" w:styleId="61">
    <w:name w:val="封面一致性程度标识"/>
    <w:basedOn w:val="59"/>
    <w:link w:val="62"/>
    <w:qFormat/>
    <w:uiPriority w:val="0"/>
    <w:pPr>
      <w:framePr w:wrap="around"/>
      <w:spacing w:before="760"/>
    </w:pPr>
  </w:style>
  <w:style w:type="character" w:customStyle="1" w:styleId="62">
    <w:name w:val="封面一致性程度标识 字符"/>
    <w:basedOn w:val="19"/>
    <w:link w:val="61"/>
    <w:qFormat/>
    <w:uiPriority w:val="0"/>
    <w:rPr>
      <w:rFonts w:ascii="Times New Roman" w:hAnsi="Times New Roman" w:eastAsia="黑体" w:cs="Times New Roman"/>
      <w:sz w:val="28"/>
    </w:rPr>
  </w:style>
  <w:style w:type="paragraph" w:customStyle="1" w:styleId="63">
    <w:name w:val="封面标准文稿类别"/>
    <w:basedOn w:val="61"/>
    <w:link w:val="64"/>
    <w:qFormat/>
    <w:uiPriority w:val="0"/>
    <w:pPr>
      <w:framePr w:wrap="around"/>
      <w:spacing w:before="440" w:after="160"/>
    </w:pPr>
    <w:rPr>
      <w:rFonts w:ascii="黑体" w:hAnsi="黑体"/>
      <w:sz w:val="24"/>
    </w:rPr>
  </w:style>
  <w:style w:type="character" w:customStyle="1" w:styleId="64">
    <w:name w:val="封面标准文稿类别 字符"/>
    <w:basedOn w:val="19"/>
    <w:link w:val="63"/>
    <w:qFormat/>
    <w:uiPriority w:val="0"/>
    <w:rPr>
      <w:rFonts w:ascii="黑体" w:hAnsi="黑体" w:eastAsia="黑体" w:cs="Times New Roman"/>
      <w:sz w:val="24"/>
    </w:rPr>
  </w:style>
  <w:style w:type="paragraph" w:customStyle="1" w:styleId="65">
    <w:name w:val="封面标准文稿编辑信息"/>
    <w:basedOn w:val="63"/>
    <w:link w:val="66"/>
    <w:qFormat/>
    <w:uiPriority w:val="0"/>
    <w:pPr>
      <w:framePr w:wrap="around"/>
      <w:spacing w:before="180" w:after="0" w:line="240" w:lineRule="atLeast"/>
    </w:pPr>
    <w:rPr>
      <w:rFonts w:ascii="宋体" w:hAnsi="宋体" w:eastAsia="宋体"/>
      <w:sz w:val="21"/>
    </w:rPr>
  </w:style>
  <w:style w:type="character" w:customStyle="1" w:styleId="66">
    <w:name w:val="封面标准文稿编辑信息 字符"/>
    <w:basedOn w:val="19"/>
    <w:link w:val="65"/>
    <w:qFormat/>
    <w:uiPriority w:val="0"/>
    <w:rPr>
      <w:rFonts w:ascii="宋体" w:hAnsi="宋体" w:eastAsia="宋体" w:cs="Times New Roman"/>
      <w:sz w:val="21"/>
    </w:rPr>
  </w:style>
  <w:style w:type="paragraph" w:customStyle="1" w:styleId="67">
    <w:name w:val="封面标准文稿附件"/>
    <w:basedOn w:val="63"/>
    <w:link w:val="68"/>
    <w:qFormat/>
    <w:uiPriority w:val="0"/>
    <w:pPr>
      <w:framePr w:wrap="around"/>
      <w:spacing w:beforeLines="300" w:afterLines="30" w:line="240" w:lineRule="auto"/>
    </w:pPr>
    <w:rPr>
      <w:rFonts w:ascii="Times New Roman" w:hAnsi="Times New Roman"/>
      <w:b/>
      <w:sz w:val="21"/>
    </w:rPr>
  </w:style>
  <w:style w:type="character" w:customStyle="1" w:styleId="68">
    <w:name w:val="封面标准文稿附件 字符"/>
    <w:basedOn w:val="19"/>
    <w:link w:val="67"/>
    <w:qFormat/>
    <w:uiPriority w:val="0"/>
    <w:rPr>
      <w:rFonts w:ascii="Times New Roman" w:hAnsi="Times New Roman" w:eastAsia="黑体" w:cs="Times New Roman"/>
      <w:b/>
      <w:sz w:val="21"/>
    </w:rPr>
  </w:style>
  <w:style w:type="paragraph" w:customStyle="1" w:styleId="69">
    <w:name w:val="其他发布部门"/>
    <w:basedOn w:val="45"/>
    <w:link w:val="70"/>
    <w:qFormat/>
    <w:uiPriority w:val="0"/>
    <w:pPr>
      <w:framePr w:wrap="around" w:y="15308"/>
      <w:spacing w:line="14" w:lineRule="atLeast"/>
    </w:pPr>
    <w:rPr>
      <w:rFonts w:ascii="黑体" w:hAnsi="黑体" w:eastAsia="黑体"/>
    </w:rPr>
  </w:style>
  <w:style w:type="character" w:customStyle="1" w:styleId="70">
    <w:name w:val="其他发布部门 字符"/>
    <w:basedOn w:val="19"/>
    <w:link w:val="69"/>
    <w:qFormat/>
    <w:uiPriority w:val="0"/>
    <w:rPr>
      <w:rFonts w:ascii="黑体" w:hAnsi="黑体" w:eastAsia="黑体" w:cs="Times New Roman"/>
      <w:spacing w:val="20"/>
      <w:w w:val="135"/>
      <w:kern w:val="0"/>
      <w:sz w:val="28"/>
    </w:rPr>
  </w:style>
  <w:style w:type="paragraph" w:customStyle="1" w:styleId="71">
    <w:name w:val="其他发布部门2"/>
    <w:basedOn w:val="45"/>
    <w:link w:val="72"/>
    <w:qFormat/>
    <w:uiPriority w:val="0"/>
    <w:pPr>
      <w:framePr w:w="7432" w:h="584" w:hRule="exact" w:hSpace="181" w:wrap="around" w:vAnchor="margin" w:hAnchor="margin" w:xAlign="center" w:y="15024"/>
      <w:spacing w:before="0" w:line="14" w:lineRule="atLeast"/>
    </w:pPr>
    <w:rPr>
      <w:rFonts w:ascii="黑体" w:hAnsi="黑体" w:eastAsia="黑体"/>
      <w:spacing w:val="0"/>
      <w:w w:val="100"/>
      <w:szCs w:val="20"/>
    </w:rPr>
  </w:style>
  <w:style w:type="character" w:customStyle="1" w:styleId="72">
    <w:name w:val="其他发布部门2 字符"/>
    <w:basedOn w:val="19"/>
    <w:link w:val="71"/>
    <w:qFormat/>
    <w:uiPriority w:val="0"/>
    <w:rPr>
      <w:rFonts w:ascii="黑体" w:hAnsi="黑体" w:eastAsia="黑体" w:cs="Times New Roman"/>
      <w:sz w:val="28"/>
    </w:rPr>
  </w:style>
  <w:style w:type="paragraph" w:customStyle="1" w:styleId="73">
    <w:name w:val="其他发布部门3"/>
    <w:link w:val="74"/>
    <w:qFormat/>
    <w:uiPriority w:val="0"/>
    <w:pPr>
      <w:framePr w:w="9247" w:h="1259" w:hRule="exact" w:hSpace="181" w:vSpace="181" w:wrap="around" w:vAnchor="margin" w:hAnchor="margin" w:xAlign="center" w:y="14542"/>
      <w:spacing w:line="340" w:lineRule="exact"/>
      <w:jc w:val="center"/>
    </w:pPr>
    <w:rPr>
      <w:rFonts w:ascii="黑体" w:hAnsi="Times New Roman" w:eastAsia="黑体" w:cs="Times New Roman"/>
      <w:kern w:val="2"/>
      <w:sz w:val="28"/>
      <w:szCs w:val="22"/>
      <w:lang w:val="en-US" w:eastAsia="zh-CN" w:bidi="ar-SA"/>
    </w:rPr>
  </w:style>
  <w:style w:type="character" w:customStyle="1" w:styleId="74">
    <w:name w:val="其他发布部门3 字符"/>
    <w:basedOn w:val="19"/>
    <w:link w:val="73"/>
    <w:qFormat/>
    <w:uiPriority w:val="0"/>
    <w:rPr>
      <w:rFonts w:ascii="黑体" w:hAnsi="Times New Roman" w:eastAsia="黑体" w:cs="Times New Roman"/>
      <w:sz w:val="28"/>
    </w:rPr>
  </w:style>
  <w:style w:type="paragraph" w:customStyle="1" w:styleId="75">
    <w:name w:val="其他发布日期"/>
    <w:basedOn w:val="47"/>
    <w:link w:val="76"/>
    <w:qFormat/>
    <w:uiPriority w:val="0"/>
    <w:pPr>
      <w:framePr w:hSpace="0" w:wrap="around" w:vAnchor="page" w:hAnchor="text" w:x="1418" w:y="14174"/>
    </w:pPr>
  </w:style>
  <w:style w:type="character" w:customStyle="1" w:styleId="76">
    <w:name w:val="其他发布日期 字符"/>
    <w:basedOn w:val="19"/>
    <w:link w:val="75"/>
    <w:qFormat/>
    <w:uiPriority w:val="0"/>
    <w:rPr>
      <w:rFonts w:ascii="黑体" w:hAnsi="Times New Roman" w:eastAsia="黑体" w:cs="Times New Roman"/>
      <w:kern w:val="0"/>
      <w:sz w:val="28"/>
    </w:rPr>
  </w:style>
  <w:style w:type="paragraph" w:customStyle="1" w:styleId="77">
    <w:name w:val="其他实施日期"/>
    <w:basedOn w:val="49"/>
    <w:link w:val="78"/>
    <w:qFormat/>
    <w:uiPriority w:val="0"/>
    <w:pPr>
      <w:framePr w:wrap="around"/>
    </w:pPr>
  </w:style>
  <w:style w:type="character" w:customStyle="1" w:styleId="78">
    <w:name w:val="其他实施日期 字符"/>
    <w:basedOn w:val="19"/>
    <w:link w:val="77"/>
    <w:qFormat/>
    <w:uiPriority w:val="0"/>
    <w:rPr>
      <w:rFonts w:ascii="黑体" w:hAnsi="Times New Roman" w:eastAsia="黑体" w:cs="Times New Roman"/>
      <w:kern w:val="0"/>
      <w:sz w:val="28"/>
    </w:rPr>
  </w:style>
  <w:style w:type="paragraph" w:customStyle="1" w:styleId="79">
    <w:name w:val="文献分类号"/>
    <w:link w:val="80"/>
    <w:qFormat/>
    <w:uiPriority w:val="0"/>
    <w:pPr>
      <w:framePr w:wrap="around" w:vAnchor="page" w:hAnchor="page" w:x="1372" w:y="567"/>
      <w:widowControl w:val="0"/>
      <w:textAlignment w:val="center"/>
    </w:pPr>
    <w:rPr>
      <w:rFonts w:ascii="黑体" w:hAnsi="Times New Roman" w:eastAsia="黑体" w:cs="Times New Roman"/>
      <w:kern w:val="21"/>
      <w:sz w:val="21"/>
      <w:lang w:val="en-US" w:eastAsia="zh-CN" w:bidi="ar-SA"/>
    </w:rPr>
  </w:style>
  <w:style w:type="character" w:customStyle="1" w:styleId="80">
    <w:name w:val="文献分类号 字符"/>
    <w:basedOn w:val="19"/>
    <w:link w:val="79"/>
    <w:qFormat/>
    <w:uiPriority w:val="0"/>
    <w:rPr>
      <w:rFonts w:ascii="黑体" w:hAnsi="Times New Roman" w:eastAsia="黑体" w:cs="Times New Roman"/>
      <w:kern w:val="21"/>
      <w:sz w:val="21"/>
    </w:rPr>
  </w:style>
  <w:style w:type="paragraph" w:customStyle="1" w:styleId="81">
    <w:name w:val="标准文件_目录标题"/>
    <w:basedOn w:val="1"/>
    <w:link w:val="82"/>
    <w:qFormat/>
    <w:uiPriority w:val="0"/>
    <w:pPr>
      <w:shd w:val="clear" w:color="auto" w:fill="FFFFFF"/>
      <w:spacing w:afterLines="150"/>
      <w:jc w:val="center"/>
    </w:pPr>
    <w:rPr>
      <w:rFonts w:ascii="黑体" w:eastAsia="黑体"/>
      <w:kern w:val="0"/>
      <w:sz w:val="32"/>
    </w:rPr>
  </w:style>
  <w:style w:type="character" w:customStyle="1" w:styleId="82">
    <w:name w:val="标准文件_目录标题 字符"/>
    <w:basedOn w:val="19"/>
    <w:link w:val="81"/>
    <w:qFormat/>
    <w:uiPriority w:val="0"/>
    <w:rPr>
      <w:rFonts w:ascii="黑体" w:hAnsi="Times New Roman" w:eastAsia="黑体"/>
      <w:kern w:val="0"/>
      <w:sz w:val="32"/>
      <w:shd w:val="clear" w:color="auto" w:fill="FFFFFF"/>
    </w:rPr>
  </w:style>
  <w:style w:type="paragraph" w:customStyle="1" w:styleId="83">
    <w:name w:val="标准文件_前言、引言标题"/>
    <w:next w:val="1"/>
    <w:link w:val="84"/>
    <w:qFormat/>
    <w:uiPriority w:val="0"/>
    <w:pPr>
      <w:numPr>
        <w:ilvl w:val="0"/>
        <w:numId w:val="3"/>
      </w:numPr>
      <w:spacing w:afterLines="150"/>
      <w:ind w:left="0" w:firstLine="0"/>
      <w:jc w:val="center"/>
      <w:outlineLvl w:val="0"/>
    </w:pPr>
    <w:rPr>
      <w:rFonts w:ascii="黑体" w:hAnsi="Times New Roman" w:eastAsia="黑体" w:cstheme="minorBidi"/>
      <w:sz w:val="32"/>
      <w:lang w:val="en-US" w:eastAsia="zh-CN" w:bidi="ar-SA"/>
    </w:rPr>
  </w:style>
  <w:style w:type="character" w:customStyle="1" w:styleId="84">
    <w:name w:val="标准文件_前言、引言标题 字符"/>
    <w:basedOn w:val="19"/>
    <w:link w:val="83"/>
    <w:qFormat/>
    <w:uiPriority w:val="0"/>
    <w:rPr>
      <w:rFonts w:ascii="黑体" w:hAnsi="Times New Roman" w:eastAsia="黑体"/>
      <w:sz w:val="32"/>
    </w:rPr>
  </w:style>
  <w:style w:type="paragraph" w:customStyle="1" w:styleId="85">
    <w:name w:val="标准文件_正文标准名称"/>
    <w:basedOn w:val="1"/>
    <w:link w:val="86"/>
    <w:qFormat/>
    <w:uiPriority w:val="0"/>
    <w:pPr>
      <w:widowControl/>
      <w:spacing w:after="640" w:line="400" w:lineRule="exact"/>
      <w:jc w:val="center"/>
    </w:pPr>
    <w:rPr>
      <w:rFonts w:ascii="黑体" w:hAnsi="黑体" w:eastAsia="黑体"/>
      <w:sz w:val="32"/>
    </w:rPr>
  </w:style>
  <w:style w:type="character" w:customStyle="1" w:styleId="86">
    <w:name w:val="标准文件_正文标准名称 字符"/>
    <w:basedOn w:val="19"/>
    <w:link w:val="85"/>
    <w:qFormat/>
    <w:uiPriority w:val="0"/>
    <w:rPr>
      <w:rFonts w:ascii="黑体" w:hAnsi="黑体" w:eastAsia="黑体"/>
      <w:kern w:val="2"/>
      <w:sz w:val="32"/>
      <w:szCs w:val="22"/>
    </w:rPr>
  </w:style>
  <w:style w:type="paragraph" w:customStyle="1" w:styleId="87">
    <w:name w:val="标准文件_一级项"/>
    <w:next w:val="23"/>
    <w:link w:val="88"/>
    <w:qFormat/>
    <w:uiPriority w:val="0"/>
    <w:pPr>
      <w:numPr>
        <w:ilvl w:val="0"/>
        <w:numId w:val="4"/>
      </w:numPr>
    </w:pPr>
    <w:rPr>
      <w:rFonts w:ascii="宋体" w:hAnsi="Times New Roman" w:eastAsia="宋体" w:cstheme="minorBidi"/>
      <w:sz w:val="21"/>
      <w:szCs w:val="22"/>
      <w:lang w:val="en-US" w:eastAsia="zh-CN" w:bidi="ar-SA"/>
    </w:rPr>
  </w:style>
  <w:style w:type="character" w:customStyle="1" w:styleId="88">
    <w:name w:val="标准文件_一级项 字符"/>
    <w:basedOn w:val="19"/>
    <w:link w:val="87"/>
    <w:qFormat/>
    <w:uiPriority w:val="0"/>
    <w:rPr>
      <w:rFonts w:ascii="宋体" w:hAnsi="Times New Roman" w:eastAsia="宋体"/>
      <w:sz w:val="21"/>
      <w:szCs w:val="22"/>
    </w:rPr>
  </w:style>
  <w:style w:type="paragraph" w:customStyle="1" w:styleId="89">
    <w:name w:val="标准文件_二级项2"/>
    <w:basedOn w:val="23"/>
    <w:next w:val="23"/>
    <w:link w:val="90"/>
    <w:qFormat/>
    <w:uiPriority w:val="0"/>
    <w:pPr>
      <w:numPr>
        <w:ilvl w:val="1"/>
        <w:numId w:val="5"/>
      </w:numPr>
      <w:ind w:left="1271" w:hanging="420" w:firstLineChars="0"/>
    </w:pPr>
  </w:style>
  <w:style w:type="character" w:customStyle="1" w:styleId="90">
    <w:name w:val="标准文件_二级项2 字符"/>
    <w:basedOn w:val="19"/>
    <w:link w:val="89"/>
    <w:qFormat/>
    <w:uiPriority w:val="0"/>
    <w:rPr>
      <w:rFonts w:ascii="宋体" w:hAnsi="Times New Roman" w:eastAsia="宋体"/>
      <w:sz w:val="21"/>
    </w:rPr>
  </w:style>
  <w:style w:type="paragraph" w:customStyle="1" w:styleId="91">
    <w:name w:val="标准文件_三级项"/>
    <w:basedOn w:val="1"/>
    <w:next w:val="23"/>
    <w:link w:val="92"/>
    <w:qFormat/>
    <w:uiPriority w:val="0"/>
    <w:pPr>
      <w:numPr>
        <w:ilvl w:val="2"/>
        <w:numId w:val="6"/>
      </w:numPr>
      <w:tabs>
        <w:tab w:val="left" w:pos="1678"/>
        <w:tab w:val="clear" w:pos="2103"/>
      </w:tabs>
      <w:spacing w:line="300" w:lineRule="exact"/>
    </w:pPr>
    <w:rPr>
      <w:rFonts w:hAnsiTheme="minorHAnsi"/>
    </w:rPr>
  </w:style>
  <w:style w:type="character" w:customStyle="1" w:styleId="92">
    <w:name w:val="标准文件_三级项 字符"/>
    <w:basedOn w:val="19"/>
    <w:link w:val="91"/>
    <w:qFormat/>
    <w:uiPriority w:val="0"/>
    <w:rPr>
      <w:rFonts w:ascii="宋体" w:eastAsia="宋体"/>
      <w:kern w:val="2"/>
      <w:sz w:val="21"/>
      <w:szCs w:val="22"/>
    </w:rPr>
  </w:style>
  <w:style w:type="paragraph" w:customStyle="1" w:styleId="93">
    <w:name w:val="标准文件_字母编号列项（一级）"/>
    <w:next w:val="23"/>
    <w:link w:val="94"/>
    <w:qFormat/>
    <w:uiPriority w:val="0"/>
    <w:pPr>
      <w:numPr>
        <w:ilvl w:val="0"/>
        <w:numId w:val="7"/>
      </w:numPr>
      <w:jc w:val="both"/>
    </w:pPr>
    <w:rPr>
      <w:rFonts w:ascii="宋体" w:hAnsi="Times New Roman" w:eastAsia="宋体" w:cstheme="minorBidi"/>
      <w:sz w:val="21"/>
      <w:lang w:val="en-US" w:eastAsia="zh-CN" w:bidi="ar-SA"/>
    </w:rPr>
  </w:style>
  <w:style w:type="character" w:customStyle="1" w:styleId="94">
    <w:name w:val="标准文件_字母编号列项（一级） 字符"/>
    <w:basedOn w:val="19"/>
    <w:link w:val="93"/>
    <w:qFormat/>
    <w:uiPriority w:val="0"/>
    <w:rPr>
      <w:rFonts w:ascii="宋体" w:hAnsi="Times New Roman" w:eastAsia="宋体"/>
      <w:sz w:val="21"/>
    </w:rPr>
  </w:style>
  <w:style w:type="paragraph" w:customStyle="1" w:styleId="95">
    <w:name w:val="标准文件_数字编号列项（二级）"/>
    <w:next w:val="23"/>
    <w:link w:val="96"/>
    <w:qFormat/>
    <w:uiPriority w:val="0"/>
    <w:pPr>
      <w:numPr>
        <w:ilvl w:val="1"/>
        <w:numId w:val="7"/>
      </w:numPr>
      <w:tabs>
        <w:tab w:val="left" w:pos="1277"/>
        <w:tab w:val="clear" w:pos="1276"/>
      </w:tabs>
      <w:jc w:val="both"/>
    </w:pPr>
    <w:rPr>
      <w:rFonts w:ascii="宋体" w:hAnsi="Times New Roman" w:eastAsia="宋体" w:cs="Times New Roman"/>
      <w:sz w:val="21"/>
      <w:szCs w:val="22"/>
      <w:lang w:val="en-US" w:eastAsia="zh-CN" w:bidi="ar-SA"/>
    </w:rPr>
  </w:style>
  <w:style w:type="character" w:customStyle="1" w:styleId="96">
    <w:name w:val="标准文件_数字编号列项（二级） 字符"/>
    <w:basedOn w:val="19"/>
    <w:link w:val="95"/>
    <w:qFormat/>
    <w:uiPriority w:val="0"/>
    <w:rPr>
      <w:rFonts w:ascii="宋体" w:hAnsi="Times New Roman" w:eastAsia="宋体" w:cs="Times New Roman"/>
      <w:sz w:val="21"/>
      <w:szCs w:val="22"/>
    </w:rPr>
  </w:style>
  <w:style w:type="paragraph" w:customStyle="1" w:styleId="97">
    <w:name w:val="标准文件_引言一级条标题"/>
    <w:basedOn w:val="23"/>
    <w:next w:val="23"/>
    <w:link w:val="98"/>
    <w:qFormat/>
    <w:uiPriority w:val="0"/>
    <w:pPr>
      <w:numPr>
        <w:ilvl w:val="1"/>
        <w:numId w:val="8"/>
      </w:numPr>
      <w:spacing w:beforeLines="50" w:afterLines="50"/>
    </w:pPr>
    <w:rPr>
      <w:rFonts w:ascii="黑体" w:hAnsi="黑体" w:eastAsia="黑体"/>
    </w:rPr>
  </w:style>
  <w:style w:type="character" w:customStyle="1" w:styleId="98">
    <w:name w:val="标准文件_引言一级条标题 字符"/>
    <w:basedOn w:val="19"/>
    <w:link w:val="97"/>
    <w:qFormat/>
    <w:uiPriority w:val="0"/>
    <w:rPr>
      <w:rFonts w:ascii="黑体" w:hAnsi="黑体" w:eastAsia="黑体"/>
      <w:sz w:val="21"/>
    </w:rPr>
  </w:style>
  <w:style w:type="paragraph" w:customStyle="1" w:styleId="99">
    <w:name w:val="标准文件_引言二级条标题"/>
    <w:basedOn w:val="23"/>
    <w:next w:val="23"/>
    <w:link w:val="100"/>
    <w:qFormat/>
    <w:uiPriority w:val="0"/>
    <w:pPr>
      <w:numPr>
        <w:ilvl w:val="2"/>
        <w:numId w:val="9"/>
      </w:numPr>
      <w:spacing w:beforeLines="50" w:afterLines="50"/>
    </w:pPr>
    <w:rPr>
      <w:rFonts w:ascii="黑体" w:hAnsi="黑体" w:eastAsia="黑体"/>
    </w:rPr>
  </w:style>
  <w:style w:type="character" w:customStyle="1" w:styleId="100">
    <w:name w:val="标准文件_引言二级条标题 字符"/>
    <w:basedOn w:val="19"/>
    <w:link w:val="99"/>
    <w:qFormat/>
    <w:uiPriority w:val="0"/>
    <w:rPr>
      <w:rFonts w:ascii="黑体" w:hAnsi="黑体" w:eastAsia="黑体"/>
      <w:sz w:val="21"/>
    </w:rPr>
  </w:style>
  <w:style w:type="paragraph" w:customStyle="1" w:styleId="101">
    <w:name w:val="标准文件_引言三级条标题"/>
    <w:basedOn w:val="23"/>
    <w:next w:val="23"/>
    <w:link w:val="102"/>
    <w:qFormat/>
    <w:uiPriority w:val="0"/>
    <w:pPr>
      <w:numPr>
        <w:ilvl w:val="3"/>
        <w:numId w:val="10"/>
      </w:numPr>
      <w:spacing w:beforeLines="50" w:afterLines="50"/>
    </w:pPr>
    <w:rPr>
      <w:rFonts w:ascii="黑体" w:hAnsi="黑体" w:eastAsia="黑体"/>
    </w:rPr>
  </w:style>
  <w:style w:type="character" w:customStyle="1" w:styleId="102">
    <w:name w:val="标准文件_引言三级条标题 字符"/>
    <w:basedOn w:val="19"/>
    <w:link w:val="101"/>
    <w:qFormat/>
    <w:uiPriority w:val="0"/>
    <w:rPr>
      <w:rFonts w:ascii="黑体" w:hAnsi="黑体" w:eastAsia="黑体"/>
      <w:sz w:val="21"/>
    </w:rPr>
  </w:style>
  <w:style w:type="paragraph" w:customStyle="1" w:styleId="103">
    <w:name w:val="标准文件_引言四级条标题"/>
    <w:basedOn w:val="23"/>
    <w:next w:val="23"/>
    <w:link w:val="104"/>
    <w:qFormat/>
    <w:uiPriority w:val="0"/>
    <w:pPr>
      <w:numPr>
        <w:ilvl w:val="4"/>
        <w:numId w:val="11"/>
      </w:numPr>
      <w:spacing w:beforeLines="50" w:afterLines="50"/>
    </w:pPr>
    <w:rPr>
      <w:rFonts w:ascii="黑体" w:hAnsi="黑体" w:eastAsia="黑体"/>
    </w:rPr>
  </w:style>
  <w:style w:type="character" w:customStyle="1" w:styleId="104">
    <w:name w:val="标准文件_引言四级条标题 字符"/>
    <w:basedOn w:val="19"/>
    <w:link w:val="103"/>
    <w:qFormat/>
    <w:uiPriority w:val="0"/>
    <w:rPr>
      <w:rFonts w:ascii="黑体" w:hAnsi="黑体" w:eastAsia="黑体"/>
      <w:sz w:val="21"/>
    </w:rPr>
  </w:style>
  <w:style w:type="paragraph" w:customStyle="1" w:styleId="105">
    <w:name w:val="标准文件_引言五级条标题"/>
    <w:basedOn w:val="23"/>
    <w:next w:val="23"/>
    <w:link w:val="106"/>
    <w:qFormat/>
    <w:uiPriority w:val="0"/>
    <w:pPr>
      <w:numPr>
        <w:ilvl w:val="5"/>
        <w:numId w:val="12"/>
      </w:numPr>
      <w:spacing w:beforeLines="50" w:afterLines="50"/>
    </w:pPr>
    <w:rPr>
      <w:rFonts w:ascii="黑体" w:hAnsi="黑体" w:eastAsia="黑体"/>
    </w:rPr>
  </w:style>
  <w:style w:type="character" w:customStyle="1" w:styleId="106">
    <w:name w:val="标准文件_引言五级条标题 字符"/>
    <w:basedOn w:val="19"/>
    <w:link w:val="105"/>
    <w:qFormat/>
    <w:uiPriority w:val="0"/>
    <w:rPr>
      <w:rFonts w:ascii="黑体" w:hAnsi="黑体" w:eastAsia="黑体"/>
      <w:sz w:val="21"/>
    </w:rPr>
  </w:style>
  <w:style w:type="paragraph" w:customStyle="1" w:styleId="107">
    <w:name w:val="标准文件_引言一级无标题"/>
    <w:basedOn w:val="97"/>
    <w:next w:val="23"/>
    <w:link w:val="108"/>
    <w:qFormat/>
    <w:uiPriority w:val="0"/>
    <w:pPr>
      <w:spacing w:beforeLines="0" w:afterLines="0" w:line="276" w:lineRule="auto"/>
      <w:ind w:firstLineChars="0"/>
    </w:pPr>
    <w:rPr>
      <w:rFonts w:ascii="宋体" w:hAnsi="宋体" w:eastAsia="宋体"/>
    </w:rPr>
  </w:style>
  <w:style w:type="character" w:customStyle="1" w:styleId="108">
    <w:name w:val="标准文件_引言一级无标题 字符"/>
    <w:basedOn w:val="19"/>
    <w:link w:val="107"/>
    <w:qFormat/>
    <w:uiPriority w:val="0"/>
    <w:rPr>
      <w:rFonts w:ascii="宋体" w:hAnsi="宋体" w:eastAsia="宋体"/>
      <w:sz w:val="21"/>
    </w:rPr>
  </w:style>
  <w:style w:type="paragraph" w:customStyle="1" w:styleId="109">
    <w:name w:val="标准文件_引言二级无标题"/>
    <w:basedOn w:val="99"/>
    <w:next w:val="23"/>
    <w:link w:val="110"/>
    <w:qFormat/>
    <w:uiPriority w:val="0"/>
    <w:pPr>
      <w:spacing w:beforeLines="0" w:afterLines="0" w:line="276" w:lineRule="auto"/>
      <w:ind w:firstLineChars="0"/>
    </w:pPr>
    <w:rPr>
      <w:rFonts w:ascii="宋体" w:hAnsi="宋体" w:eastAsia="宋体"/>
    </w:rPr>
  </w:style>
  <w:style w:type="character" w:customStyle="1" w:styleId="110">
    <w:name w:val="标准文件_引言二级无标题 字符"/>
    <w:basedOn w:val="19"/>
    <w:link w:val="109"/>
    <w:qFormat/>
    <w:uiPriority w:val="0"/>
    <w:rPr>
      <w:rFonts w:ascii="宋体" w:hAnsi="宋体" w:eastAsia="宋体"/>
      <w:sz w:val="21"/>
    </w:rPr>
  </w:style>
  <w:style w:type="paragraph" w:customStyle="1" w:styleId="111">
    <w:name w:val="标准文件_引言三级无标题"/>
    <w:basedOn w:val="101"/>
    <w:next w:val="23"/>
    <w:link w:val="112"/>
    <w:qFormat/>
    <w:uiPriority w:val="0"/>
    <w:pPr>
      <w:spacing w:beforeLines="0" w:afterLines="0" w:line="276" w:lineRule="auto"/>
      <w:ind w:firstLineChars="0"/>
    </w:pPr>
    <w:rPr>
      <w:rFonts w:ascii="宋体" w:hAnsi="宋体" w:eastAsia="宋体"/>
    </w:rPr>
  </w:style>
  <w:style w:type="character" w:customStyle="1" w:styleId="112">
    <w:name w:val="标准文件_引言三级无标题 字符"/>
    <w:basedOn w:val="19"/>
    <w:link w:val="111"/>
    <w:qFormat/>
    <w:uiPriority w:val="0"/>
    <w:rPr>
      <w:rFonts w:ascii="宋体" w:hAnsi="宋体" w:eastAsia="宋体"/>
      <w:sz w:val="21"/>
    </w:rPr>
  </w:style>
  <w:style w:type="paragraph" w:customStyle="1" w:styleId="113">
    <w:name w:val="标准文件_引言四级无标题"/>
    <w:basedOn w:val="103"/>
    <w:next w:val="23"/>
    <w:link w:val="114"/>
    <w:qFormat/>
    <w:uiPriority w:val="0"/>
    <w:pPr>
      <w:spacing w:beforeLines="0" w:afterLines="0" w:line="276" w:lineRule="auto"/>
      <w:ind w:firstLineChars="0"/>
    </w:pPr>
    <w:rPr>
      <w:rFonts w:ascii="宋体" w:hAnsi="宋体" w:eastAsia="宋体"/>
    </w:rPr>
  </w:style>
  <w:style w:type="character" w:customStyle="1" w:styleId="114">
    <w:name w:val="标准文件_引言四级无标题 字符"/>
    <w:basedOn w:val="19"/>
    <w:link w:val="113"/>
    <w:qFormat/>
    <w:uiPriority w:val="0"/>
    <w:rPr>
      <w:rFonts w:ascii="宋体" w:hAnsi="宋体" w:eastAsia="宋体"/>
      <w:sz w:val="21"/>
    </w:rPr>
  </w:style>
  <w:style w:type="paragraph" w:customStyle="1" w:styleId="115">
    <w:name w:val="标准文件_引言五级无标题"/>
    <w:basedOn w:val="105"/>
    <w:next w:val="23"/>
    <w:link w:val="116"/>
    <w:qFormat/>
    <w:uiPriority w:val="0"/>
    <w:pPr>
      <w:spacing w:beforeLines="0" w:afterLines="0" w:line="276" w:lineRule="auto"/>
      <w:ind w:firstLineChars="0"/>
    </w:pPr>
    <w:rPr>
      <w:rFonts w:ascii="宋体" w:hAnsi="宋体" w:eastAsia="宋体"/>
    </w:rPr>
  </w:style>
  <w:style w:type="character" w:customStyle="1" w:styleId="116">
    <w:name w:val="标准文件_引言五级无标题 字符"/>
    <w:basedOn w:val="19"/>
    <w:link w:val="115"/>
    <w:qFormat/>
    <w:uiPriority w:val="0"/>
    <w:rPr>
      <w:rFonts w:ascii="宋体" w:hAnsi="宋体" w:eastAsia="宋体"/>
      <w:sz w:val="21"/>
    </w:rPr>
  </w:style>
  <w:style w:type="paragraph" w:customStyle="1" w:styleId="117">
    <w:name w:val="标准文件_章标题"/>
    <w:next w:val="23"/>
    <w:link w:val="118"/>
    <w:qFormat/>
    <w:uiPriority w:val="0"/>
    <w:pPr>
      <w:numPr>
        <w:ilvl w:val="0"/>
        <w:numId w:val="13"/>
      </w:numPr>
      <w:spacing w:beforeLines="100" w:afterLines="100"/>
      <w:jc w:val="both"/>
      <w:outlineLvl w:val="0"/>
    </w:pPr>
    <w:rPr>
      <w:rFonts w:ascii="黑体" w:hAnsi="Times New Roman" w:eastAsia="黑体" w:cstheme="minorBidi"/>
      <w:sz w:val="21"/>
      <w:lang w:val="en-US" w:eastAsia="zh-CN" w:bidi="ar-SA"/>
    </w:rPr>
  </w:style>
  <w:style w:type="character" w:customStyle="1" w:styleId="118">
    <w:name w:val="标准文件_章标题 字符"/>
    <w:basedOn w:val="19"/>
    <w:link w:val="117"/>
    <w:qFormat/>
    <w:uiPriority w:val="0"/>
    <w:rPr>
      <w:rFonts w:ascii="黑体" w:hAnsi="Times New Roman" w:eastAsia="黑体"/>
      <w:sz w:val="21"/>
    </w:rPr>
  </w:style>
  <w:style w:type="paragraph" w:customStyle="1" w:styleId="119">
    <w:name w:val="标准文件_一级条标题"/>
    <w:basedOn w:val="117"/>
    <w:next w:val="23"/>
    <w:link w:val="120"/>
    <w:qFormat/>
    <w:uiPriority w:val="0"/>
    <w:pPr>
      <w:numPr>
        <w:ilvl w:val="1"/>
      </w:numPr>
      <w:spacing w:beforeLines="50" w:afterLines="50"/>
      <w:ind w:left="0"/>
      <w:outlineLvl w:val="1"/>
    </w:pPr>
  </w:style>
  <w:style w:type="character" w:customStyle="1" w:styleId="120">
    <w:name w:val="标准文件_一级条标题 字符"/>
    <w:basedOn w:val="19"/>
    <w:link w:val="119"/>
    <w:qFormat/>
    <w:uiPriority w:val="0"/>
    <w:rPr>
      <w:rFonts w:ascii="黑体" w:hAnsi="Times New Roman" w:eastAsia="黑体"/>
      <w:sz w:val="21"/>
    </w:rPr>
  </w:style>
  <w:style w:type="paragraph" w:customStyle="1" w:styleId="121">
    <w:name w:val="标准文件_二级条标题"/>
    <w:next w:val="23"/>
    <w:link w:val="122"/>
    <w:qFormat/>
    <w:uiPriority w:val="0"/>
    <w:pPr>
      <w:numPr>
        <w:ilvl w:val="2"/>
        <w:numId w:val="13"/>
      </w:numPr>
      <w:spacing w:beforeLines="50" w:afterLines="50"/>
      <w:jc w:val="both"/>
      <w:outlineLvl w:val="2"/>
    </w:pPr>
    <w:rPr>
      <w:rFonts w:ascii="黑体" w:hAnsi="黑体" w:eastAsia="黑体" w:cstheme="minorBidi"/>
      <w:sz w:val="21"/>
      <w:lang w:val="en-US" w:eastAsia="zh-CN" w:bidi="ar-SA"/>
    </w:rPr>
  </w:style>
  <w:style w:type="character" w:customStyle="1" w:styleId="122">
    <w:name w:val="标准文件_二级条标题 字符"/>
    <w:basedOn w:val="19"/>
    <w:link w:val="121"/>
    <w:qFormat/>
    <w:uiPriority w:val="0"/>
    <w:rPr>
      <w:rFonts w:ascii="黑体" w:hAnsi="黑体" w:eastAsia="黑体"/>
      <w:sz w:val="21"/>
    </w:rPr>
  </w:style>
  <w:style w:type="paragraph" w:customStyle="1" w:styleId="123">
    <w:name w:val="标准文件_三级条标题"/>
    <w:basedOn w:val="121"/>
    <w:next w:val="23"/>
    <w:link w:val="124"/>
    <w:qFormat/>
    <w:uiPriority w:val="0"/>
    <w:pPr>
      <w:numPr>
        <w:ilvl w:val="3"/>
      </w:numPr>
      <w:outlineLvl w:val="3"/>
    </w:pPr>
  </w:style>
  <w:style w:type="character" w:customStyle="1" w:styleId="124">
    <w:name w:val="标准文件_三级条标题 字符"/>
    <w:basedOn w:val="19"/>
    <w:link w:val="123"/>
    <w:qFormat/>
    <w:uiPriority w:val="0"/>
    <w:rPr>
      <w:rFonts w:ascii="黑体" w:hAnsi="黑体" w:eastAsia="黑体"/>
      <w:sz w:val="21"/>
    </w:rPr>
  </w:style>
  <w:style w:type="paragraph" w:customStyle="1" w:styleId="125">
    <w:name w:val="标准文件_四级条标题"/>
    <w:next w:val="23"/>
    <w:link w:val="126"/>
    <w:qFormat/>
    <w:uiPriority w:val="0"/>
    <w:pPr>
      <w:numPr>
        <w:ilvl w:val="4"/>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6">
    <w:name w:val="标准文件_四级条标题 字符"/>
    <w:basedOn w:val="19"/>
    <w:link w:val="125"/>
    <w:qFormat/>
    <w:uiPriority w:val="0"/>
    <w:rPr>
      <w:rFonts w:ascii="黑体" w:hAnsi="黑体" w:eastAsia="黑体"/>
      <w:kern w:val="2"/>
      <w:sz w:val="21"/>
      <w:szCs w:val="22"/>
    </w:rPr>
  </w:style>
  <w:style w:type="paragraph" w:customStyle="1" w:styleId="127">
    <w:name w:val="标准文件_五级条标题"/>
    <w:next w:val="23"/>
    <w:link w:val="128"/>
    <w:qFormat/>
    <w:uiPriority w:val="0"/>
    <w:pPr>
      <w:numPr>
        <w:ilvl w:val="5"/>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8">
    <w:name w:val="标准文件_五级条标题 字符"/>
    <w:basedOn w:val="19"/>
    <w:link w:val="127"/>
    <w:qFormat/>
    <w:uiPriority w:val="0"/>
    <w:rPr>
      <w:rFonts w:ascii="黑体" w:hAnsi="黑体" w:eastAsia="黑体"/>
      <w:kern w:val="2"/>
      <w:sz w:val="21"/>
      <w:szCs w:val="22"/>
    </w:rPr>
  </w:style>
  <w:style w:type="paragraph" w:customStyle="1" w:styleId="129">
    <w:name w:val="标准文件_一级无标题"/>
    <w:basedOn w:val="119"/>
    <w:link w:val="130"/>
    <w:qFormat/>
    <w:uiPriority w:val="0"/>
    <w:pPr>
      <w:spacing w:beforeLines="0" w:afterLines="0"/>
      <w:outlineLvl w:val="9"/>
    </w:pPr>
    <w:rPr>
      <w:rFonts w:ascii="宋体" w:hAnsi="宋体" w:eastAsia="宋体"/>
      <w:kern w:val="2"/>
      <w:szCs w:val="22"/>
    </w:rPr>
  </w:style>
  <w:style w:type="character" w:customStyle="1" w:styleId="130">
    <w:name w:val="标准文件_一级无标题 字符"/>
    <w:basedOn w:val="19"/>
    <w:link w:val="129"/>
    <w:qFormat/>
    <w:uiPriority w:val="0"/>
    <w:rPr>
      <w:rFonts w:ascii="宋体" w:hAnsi="宋体" w:eastAsia="宋体"/>
      <w:kern w:val="2"/>
      <w:sz w:val="21"/>
      <w:szCs w:val="22"/>
    </w:rPr>
  </w:style>
  <w:style w:type="paragraph" w:customStyle="1" w:styleId="131">
    <w:name w:val="标准文件_二级无标题"/>
    <w:basedOn w:val="121"/>
    <w:link w:val="132"/>
    <w:qFormat/>
    <w:uiPriority w:val="0"/>
    <w:pPr>
      <w:spacing w:beforeLines="0" w:afterLines="0"/>
      <w:outlineLvl w:val="9"/>
    </w:pPr>
    <w:rPr>
      <w:rFonts w:ascii="宋体" w:hAnsi="宋体" w:eastAsia="宋体"/>
      <w:kern w:val="2"/>
      <w:szCs w:val="22"/>
    </w:rPr>
  </w:style>
  <w:style w:type="character" w:customStyle="1" w:styleId="132">
    <w:name w:val="标准文件_二级无标题 字符"/>
    <w:basedOn w:val="19"/>
    <w:link w:val="131"/>
    <w:qFormat/>
    <w:uiPriority w:val="0"/>
    <w:rPr>
      <w:rFonts w:ascii="宋体" w:hAnsi="宋体" w:eastAsia="宋体"/>
      <w:kern w:val="2"/>
      <w:sz w:val="21"/>
      <w:szCs w:val="22"/>
    </w:rPr>
  </w:style>
  <w:style w:type="paragraph" w:customStyle="1" w:styleId="133">
    <w:name w:val="标准文件_三级无标题"/>
    <w:basedOn w:val="123"/>
    <w:link w:val="134"/>
    <w:qFormat/>
    <w:uiPriority w:val="0"/>
    <w:pPr>
      <w:spacing w:beforeLines="0" w:afterLines="0"/>
      <w:outlineLvl w:val="9"/>
    </w:pPr>
    <w:rPr>
      <w:rFonts w:ascii="宋体" w:hAnsi="宋体" w:eastAsia="宋体"/>
    </w:rPr>
  </w:style>
  <w:style w:type="character" w:customStyle="1" w:styleId="134">
    <w:name w:val="标准文件_三级无标题 字符"/>
    <w:basedOn w:val="19"/>
    <w:link w:val="133"/>
    <w:qFormat/>
    <w:uiPriority w:val="0"/>
    <w:rPr>
      <w:rFonts w:ascii="宋体" w:hAnsi="宋体" w:eastAsia="宋体"/>
      <w:sz w:val="21"/>
    </w:rPr>
  </w:style>
  <w:style w:type="paragraph" w:customStyle="1" w:styleId="135">
    <w:name w:val="标准文件_四级无标题"/>
    <w:basedOn w:val="125"/>
    <w:link w:val="136"/>
    <w:qFormat/>
    <w:uiPriority w:val="0"/>
    <w:pPr>
      <w:spacing w:beforeLines="0" w:afterLines="0"/>
      <w:outlineLvl w:val="9"/>
    </w:pPr>
    <w:rPr>
      <w:rFonts w:ascii="宋体" w:hAnsi="宋体" w:eastAsia="宋体"/>
    </w:rPr>
  </w:style>
  <w:style w:type="character" w:customStyle="1" w:styleId="136">
    <w:name w:val="标准文件_四级无标题 字符"/>
    <w:basedOn w:val="19"/>
    <w:link w:val="135"/>
    <w:qFormat/>
    <w:uiPriority w:val="0"/>
    <w:rPr>
      <w:rFonts w:ascii="宋体" w:hAnsi="宋体" w:eastAsia="宋体"/>
      <w:kern w:val="2"/>
      <w:sz w:val="21"/>
      <w:szCs w:val="22"/>
    </w:rPr>
  </w:style>
  <w:style w:type="paragraph" w:customStyle="1" w:styleId="137">
    <w:name w:val="标准文件_五级无标题"/>
    <w:basedOn w:val="127"/>
    <w:link w:val="138"/>
    <w:qFormat/>
    <w:uiPriority w:val="0"/>
    <w:pPr>
      <w:spacing w:beforeLines="0" w:afterLines="0"/>
      <w:outlineLvl w:val="9"/>
    </w:pPr>
    <w:rPr>
      <w:rFonts w:ascii="宋体" w:hAnsi="宋体" w:eastAsia="宋体"/>
    </w:rPr>
  </w:style>
  <w:style w:type="character" w:customStyle="1" w:styleId="138">
    <w:name w:val="标准文件_五级无标题 字符"/>
    <w:basedOn w:val="19"/>
    <w:link w:val="137"/>
    <w:qFormat/>
    <w:uiPriority w:val="0"/>
    <w:rPr>
      <w:rFonts w:ascii="宋体" w:hAnsi="宋体" w:eastAsia="宋体"/>
      <w:kern w:val="2"/>
      <w:sz w:val="21"/>
      <w:szCs w:val="22"/>
    </w:rPr>
  </w:style>
  <w:style w:type="paragraph" w:customStyle="1" w:styleId="139">
    <w:name w:val="标准文件_术语条一"/>
    <w:basedOn w:val="129"/>
    <w:next w:val="23"/>
    <w:link w:val="140"/>
    <w:qFormat/>
    <w:uiPriority w:val="0"/>
    <w:pPr>
      <w:ind w:hanging="200" w:hangingChars="200"/>
    </w:pPr>
    <w:rPr>
      <w:rFonts w:ascii="黑体" w:hAnsi="黑体" w:eastAsia="黑体"/>
    </w:rPr>
  </w:style>
  <w:style w:type="character" w:customStyle="1" w:styleId="140">
    <w:name w:val="标准文件_术语条一 字符"/>
    <w:basedOn w:val="19"/>
    <w:link w:val="139"/>
    <w:qFormat/>
    <w:uiPriority w:val="0"/>
    <w:rPr>
      <w:rFonts w:ascii="黑体" w:hAnsi="黑体" w:eastAsia="黑体"/>
      <w:kern w:val="2"/>
      <w:sz w:val="21"/>
      <w:szCs w:val="22"/>
    </w:rPr>
  </w:style>
  <w:style w:type="paragraph" w:customStyle="1" w:styleId="141">
    <w:name w:val="标准文件_术语条二"/>
    <w:basedOn w:val="131"/>
    <w:next w:val="23"/>
    <w:link w:val="142"/>
    <w:qFormat/>
    <w:uiPriority w:val="0"/>
    <w:pPr>
      <w:ind w:hanging="200" w:hangingChars="200"/>
    </w:pPr>
    <w:rPr>
      <w:rFonts w:ascii="黑体" w:hAnsi="黑体" w:eastAsia="黑体"/>
    </w:rPr>
  </w:style>
  <w:style w:type="character" w:customStyle="1" w:styleId="142">
    <w:name w:val="标准文件_术语条二 字符"/>
    <w:basedOn w:val="19"/>
    <w:link w:val="141"/>
    <w:qFormat/>
    <w:uiPriority w:val="0"/>
    <w:rPr>
      <w:rFonts w:ascii="黑体" w:hAnsi="黑体" w:eastAsia="黑体"/>
      <w:kern w:val="2"/>
      <w:sz w:val="21"/>
      <w:szCs w:val="22"/>
    </w:rPr>
  </w:style>
  <w:style w:type="paragraph" w:customStyle="1" w:styleId="143">
    <w:name w:val="标准文件_术语条三"/>
    <w:basedOn w:val="133"/>
    <w:next w:val="23"/>
    <w:link w:val="144"/>
    <w:qFormat/>
    <w:uiPriority w:val="0"/>
    <w:pPr>
      <w:ind w:hanging="200" w:hangingChars="200"/>
    </w:pPr>
    <w:rPr>
      <w:rFonts w:ascii="黑体" w:hAnsi="黑体" w:eastAsia="黑体"/>
    </w:rPr>
  </w:style>
  <w:style w:type="character" w:customStyle="1" w:styleId="144">
    <w:name w:val="标准文件_术语条三 字符"/>
    <w:basedOn w:val="19"/>
    <w:link w:val="143"/>
    <w:qFormat/>
    <w:uiPriority w:val="0"/>
    <w:rPr>
      <w:rFonts w:ascii="黑体" w:hAnsi="黑体" w:eastAsia="黑体"/>
      <w:sz w:val="21"/>
    </w:rPr>
  </w:style>
  <w:style w:type="paragraph" w:customStyle="1" w:styleId="145">
    <w:name w:val="标准文件_术语条四"/>
    <w:basedOn w:val="135"/>
    <w:next w:val="23"/>
    <w:link w:val="146"/>
    <w:qFormat/>
    <w:uiPriority w:val="0"/>
    <w:pPr>
      <w:ind w:hanging="200" w:hangingChars="200"/>
    </w:pPr>
    <w:rPr>
      <w:rFonts w:ascii="黑体" w:hAnsi="黑体" w:eastAsia="黑体"/>
    </w:rPr>
  </w:style>
  <w:style w:type="character" w:customStyle="1" w:styleId="146">
    <w:name w:val="标准文件_术语条四 字符"/>
    <w:basedOn w:val="19"/>
    <w:link w:val="145"/>
    <w:qFormat/>
    <w:uiPriority w:val="0"/>
    <w:rPr>
      <w:rFonts w:ascii="黑体" w:hAnsi="黑体" w:eastAsia="黑体"/>
      <w:kern w:val="2"/>
      <w:sz w:val="21"/>
      <w:szCs w:val="22"/>
    </w:rPr>
  </w:style>
  <w:style w:type="paragraph" w:customStyle="1" w:styleId="147">
    <w:name w:val="标准文件_术语条五"/>
    <w:basedOn w:val="137"/>
    <w:next w:val="23"/>
    <w:link w:val="148"/>
    <w:qFormat/>
    <w:uiPriority w:val="0"/>
    <w:pPr>
      <w:ind w:hanging="200" w:hangingChars="200"/>
    </w:pPr>
    <w:rPr>
      <w:rFonts w:ascii="黑体" w:hAnsi="黑体" w:eastAsia="黑体"/>
    </w:rPr>
  </w:style>
  <w:style w:type="character" w:customStyle="1" w:styleId="148">
    <w:name w:val="标准文件_术语条五 字符"/>
    <w:basedOn w:val="19"/>
    <w:link w:val="147"/>
    <w:qFormat/>
    <w:uiPriority w:val="0"/>
    <w:rPr>
      <w:rFonts w:ascii="黑体" w:hAnsi="黑体" w:eastAsia="黑体"/>
      <w:kern w:val="2"/>
      <w:sz w:val="21"/>
      <w:szCs w:val="22"/>
    </w:rPr>
  </w:style>
  <w:style w:type="paragraph" w:customStyle="1" w:styleId="149">
    <w:name w:val="标准文件_附录标识"/>
    <w:basedOn w:val="1"/>
    <w:next w:val="23"/>
    <w:link w:val="150"/>
    <w:qFormat/>
    <w:uiPriority w:val="0"/>
    <w:pPr>
      <w:widowControl/>
      <w:numPr>
        <w:ilvl w:val="0"/>
        <w:numId w:val="14"/>
      </w:numPr>
      <w:spacing w:beforeLines="25" w:afterLines="50"/>
      <w:jc w:val="center"/>
      <w:outlineLvl w:val="0"/>
    </w:pPr>
    <w:rPr>
      <w:rFonts w:ascii="黑体" w:hAnsi="黑体" w:eastAsia="黑体"/>
    </w:rPr>
  </w:style>
  <w:style w:type="character" w:customStyle="1" w:styleId="150">
    <w:name w:val="标准文件_附录标识 字符"/>
    <w:basedOn w:val="19"/>
    <w:link w:val="149"/>
    <w:qFormat/>
    <w:uiPriority w:val="0"/>
    <w:rPr>
      <w:rFonts w:ascii="黑体" w:hAnsi="黑体" w:eastAsia="黑体"/>
      <w:kern w:val="2"/>
      <w:sz w:val="21"/>
      <w:szCs w:val="22"/>
    </w:rPr>
  </w:style>
  <w:style w:type="character" w:customStyle="1" w:styleId="151">
    <w:name w:val="标题 2 Char"/>
    <w:basedOn w:val="19"/>
    <w:link w:val="3"/>
    <w:semiHidden/>
    <w:qFormat/>
    <w:uiPriority w:val="9"/>
    <w:rPr>
      <w:rFonts w:asciiTheme="majorHAnsi" w:hAnsiTheme="majorHAnsi" w:eastAsiaTheme="majorEastAsia" w:cstheme="majorBidi"/>
      <w:b/>
      <w:bCs/>
      <w:kern w:val="2"/>
      <w:sz w:val="32"/>
      <w:szCs w:val="32"/>
    </w:rPr>
  </w:style>
  <w:style w:type="character" w:customStyle="1" w:styleId="152">
    <w:name w:val="标题 3 Char"/>
    <w:basedOn w:val="19"/>
    <w:link w:val="4"/>
    <w:semiHidden/>
    <w:qFormat/>
    <w:uiPriority w:val="9"/>
    <w:rPr>
      <w:rFonts w:ascii="宋体" w:hAnsi="Times New Roman" w:eastAsia="宋体"/>
      <w:b/>
      <w:bCs/>
      <w:kern w:val="2"/>
      <w:sz w:val="32"/>
      <w:szCs w:val="32"/>
    </w:rPr>
  </w:style>
  <w:style w:type="character" w:customStyle="1" w:styleId="153">
    <w:name w:val="标题 4 Char"/>
    <w:basedOn w:val="19"/>
    <w:link w:val="5"/>
    <w:semiHidden/>
    <w:qFormat/>
    <w:uiPriority w:val="9"/>
    <w:rPr>
      <w:rFonts w:asciiTheme="majorHAnsi" w:hAnsiTheme="majorHAnsi" w:eastAsiaTheme="majorEastAsia" w:cstheme="majorBidi"/>
      <w:b/>
      <w:bCs/>
      <w:kern w:val="2"/>
      <w:sz w:val="28"/>
      <w:szCs w:val="28"/>
    </w:rPr>
  </w:style>
  <w:style w:type="character" w:customStyle="1" w:styleId="154">
    <w:name w:val="标题 5 Char"/>
    <w:basedOn w:val="19"/>
    <w:link w:val="6"/>
    <w:semiHidden/>
    <w:qFormat/>
    <w:uiPriority w:val="9"/>
    <w:rPr>
      <w:rFonts w:ascii="宋体" w:hAnsi="Times New Roman" w:eastAsia="宋体"/>
      <w:b/>
      <w:bCs/>
      <w:kern w:val="2"/>
      <w:sz w:val="28"/>
      <w:szCs w:val="28"/>
    </w:rPr>
  </w:style>
  <w:style w:type="character" w:customStyle="1" w:styleId="155">
    <w:name w:val="标题 6 Char"/>
    <w:basedOn w:val="19"/>
    <w:link w:val="7"/>
    <w:semiHidden/>
    <w:qFormat/>
    <w:uiPriority w:val="9"/>
    <w:rPr>
      <w:rFonts w:asciiTheme="majorHAnsi" w:hAnsiTheme="majorHAnsi" w:eastAsiaTheme="majorEastAsia" w:cstheme="majorBidi"/>
      <w:b/>
      <w:bCs/>
      <w:kern w:val="2"/>
      <w:sz w:val="24"/>
      <w:szCs w:val="24"/>
    </w:rPr>
  </w:style>
  <w:style w:type="character" w:customStyle="1" w:styleId="156">
    <w:name w:val="标题 7 Char"/>
    <w:basedOn w:val="19"/>
    <w:link w:val="8"/>
    <w:semiHidden/>
    <w:qFormat/>
    <w:uiPriority w:val="9"/>
    <w:rPr>
      <w:rFonts w:ascii="宋体" w:hAnsi="Times New Roman" w:eastAsia="宋体"/>
      <w:b/>
      <w:bCs/>
      <w:kern w:val="2"/>
      <w:sz w:val="24"/>
      <w:szCs w:val="24"/>
    </w:rPr>
  </w:style>
  <w:style w:type="character" w:customStyle="1" w:styleId="157">
    <w:name w:val="标题 8 Char"/>
    <w:basedOn w:val="19"/>
    <w:link w:val="9"/>
    <w:semiHidden/>
    <w:qFormat/>
    <w:uiPriority w:val="9"/>
    <w:rPr>
      <w:rFonts w:asciiTheme="majorHAnsi" w:hAnsiTheme="majorHAnsi" w:eastAsiaTheme="majorEastAsia" w:cstheme="majorBidi"/>
      <w:kern w:val="2"/>
      <w:sz w:val="24"/>
      <w:szCs w:val="24"/>
    </w:rPr>
  </w:style>
  <w:style w:type="character" w:customStyle="1" w:styleId="158">
    <w:name w:val="标题 9 Char"/>
    <w:basedOn w:val="19"/>
    <w:link w:val="10"/>
    <w:semiHidden/>
    <w:qFormat/>
    <w:uiPriority w:val="9"/>
    <w:rPr>
      <w:rFonts w:asciiTheme="majorHAnsi" w:hAnsiTheme="majorHAnsi" w:eastAsiaTheme="majorEastAsia" w:cstheme="majorBidi"/>
      <w:kern w:val="2"/>
      <w:sz w:val="21"/>
      <w:szCs w:val="21"/>
    </w:rPr>
  </w:style>
  <w:style w:type="paragraph" w:customStyle="1" w:styleId="159">
    <w:name w:val="标准文件_附录一级条标题"/>
    <w:next w:val="23"/>
    <w:link w:val="160"/>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0">
    <w:name w:val="标准文件_附录一级条标题 字符"/>
    <w:basedOn w:val="19"/>
    <w:link w:val="159"/>
    <w:qFormat/>
    <w:uiPriority w:val="0"/>
    <w:rPr>
      <w:rFonts w:ascii="黑体" w:hAnsi="黑体" w:eastAsia="黑体"/>
    </w:rPr>
  </w:style>
  <w:style w:type="paragraph" w:customStyle="1" w:styleId="161">
    <w:name w:val="标准文件_附录二级条标题"/>
    <w:next w:val="23"/>
    <w:link w:val="162"/>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2">
    <w:name w:val="标准文件_附录二级条标题 字符"/>
    <w:basedOn w:val="19"/>
    <w:link w:val="161"/>
    <w:qFormat/>
    <w:uiPriority w:val="0"/>
    <w:rPr>
      <w:rFonts w:ascii="黑体" w:hAnsi="黑体" w:eastAsia="黑体"/>
    </w:rPr>
  </w:style>
  <w:style w:type="paragraph" w:customStyle="1" w:styleId="163">
    <w:name w:val="标准文件_附录三级条标题"/>
    <w:next w:val="23"/>
    <w:link w:val="164"/>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4">
    <w:name w:val="标准文件_附录三级条标题 字符"/>
    <w:basedOn w:val="19"/>
    <w:link w:val="163"/>
    <w:qFormat/>
    <w:uiPriority w:val="0"/>
    <w:rPr>
      <w:rFonts w:ascii="黑体" w:hAnsi="黑体" w:eastAsia="黑体"/>
    </w:rPr>
  </w:style>
  <w:style w:type="paragraph" w:customStyle="1" w:styleId="165">
    <w:name w:val="标准文件_附录四级条标题"/>
    <w:next w:val="23"/>
    <w:link w:val="166"/>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6">
    <w:name w:val="标准文件_附录四级条标题 字符"/>
    <w:basedOn w:val="19"/>
    <w:link w:val="165"/>
    <w:qFormat/>
    <w:uiPriority w:val="0"/>
    <w:rPr>
      <w:rFonts w:ascii="黑体" w:hAnsi="黑体" w:eastAsia="黑体"/>
    </w:rPr>
  </w:style>
  <w:style w:type="paragraph" w:customStyle="1" w:styleId="167">
    <w:name w:val="标准文件_附录五级条标题"/>
    <w:next w:val="23"/>
    <w:link w:val="168"/>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8">
    <w:name w:val="标准文件_附录五级条标题 字符"/>
    <w:basedOn w:val="19"/>
    <w:link w:val="167"/>
    <w:qFormat/>
    <w:uiPriority w:val="0"/>
    <w:rPr>
      <w:rFonts w:ascii="黑体" w:hAnsi="黑体" w:eastAsia="黑体"/>
    </w:rPr>
  </w:style>
  <w:style w:type="paragraph" w:customStyle="1" w:styleId="169">
    <w:name w:val="标准文件_附录一级无标题"/>
    <w:basedOn w:val="159"/>
    <w:link w:val="170"/>
    <w:qFormat/>
    <w:uiPriority w:val="0"/>
    <w:pPr>
      <w:spacing w:beforeLines="0" w:afterLines="0" w:line="276" w:lineRule="auto"/>
    </w:pPr>
    <w:rPr>
      <w:rFonts w:ascii="宋体" w:hAnsi="宋体" w:eastAsia="宋体"/>
    </w:rPr>
  </w:style>
  <w:style w:type="character" w:customStyle="1" w:styleId="170">
    <w:name w:val="标准文件_附录一级无标题 字符"/>
    <w:basedOn w:val="19"/>
    <w:link w:val="169"/>
    <w:qFormat/>
    <w:uiPriority w:val="0"/>
    <w:rPr>
      <w:rFonts w:ascii="宋体" w:hAnsi="宋体" w:eastAsia="宋体"/>
      <w:kern w:val="2"/>
      <w:sz w:val="21"/>
      <w:szCs w:val="22"/>
    </w:rPr>
  </w:style>
  <w:style w:type="paragraph" w:customStyle="1" w:styleId="171">
    <w:name w:val="标准文件_附录二级无标题"/>
    <w:basedOn w:val="161"/>
    <w:link w:val="172"/>
    <w:qFormat/>
    <w:uiPriority w:val="0"/>
    <w:pPr>
      <w:spacing w:beforeLines="0" w:afterLines="0" w:line="276" w:lineRule="auto"/>
    </w:pPr>
    <w:rPr>
      <w:rFonts w:ascii="宋体" w:hAnsi="宋体" w:eastAsia="宋体"/>
    </w:rPr>
  </w:style>
  <w:style w:type="character" w:customStyle="1" w:styleId="172">
    <w:name w:val="标准文件_附录二级无标题 字符"/>
    <w:basedOn w:val="19"/>
    <w:link w:val="171"/>
    <w:qFormat/>
    <w:uiPriority w:val="0"/>
    <w:rPr>
      <w:rFonts w:ascii="宋体" w:hAnsi="宋体" w:eastAsia="宋体"/>
      <w:kern w:val="2"/>
      <w:sz w:val="21"/>
      <w:szCs w:val="22"/>
    </w:rPr>
  </w:style>
  <w:style w:type="paragraph" w:customStyle="1" w:styleId="173">
    <w:name w:val="标准文件_附录三级无标题"/>
    <w:basedOn w:val="163"/>
    <w:link w:val="174"/>
    <w:qFormat/>
    <w:uiPriority w:val="0"/>
    <w:pPr>
      <w:spacing w:beforeLines="0" w:afterLines="0" w:line="276" w:lineRule="auto"/>
    </w:pPr>
    <w:rPr>
      <w:rFonts w:ascii="宋体" w:hAnsi="宋体" w:eastAsia="宋体"/>
    </w:rPr>
  </w:style>
  <w:style w:type="character" w:customStyle="1" w:styleId="174">
    <w:name w:val="标准文件_附录三级无标题 字符"/>
    <w:basedOn w:val="19"/>
    <w:link w:val="173"/>
    <w:qFormat/>
    <w:uiPriority w:val="0"/>
    <w:rPr>
      <w:rFonts w:ascii="宋体" w:hAnsi="宋体" w:eastAsia="宋体"/>
      <w:kern w:val="2"/>
      <w:sz w:val="21"/>
      <w:szCs w:val="22"/>
    </w:rPr>
  </w:style>
  <w:style w:type="paragraph" w:customStyle="1" w:styleId="175">
    <w:name w:val="标准文件_附录四级无标题"/>
    <w:basedOn w:val="165"/>
    <w:link w:val="176"/>
    <w:qFormat/>
    <w:uiPriority w:val="0"/>
    <w:pPr>
      <w:spacing w:beforeLines="0" w:afterLines="0" w:line="276" w:lineRule="auto"/>
    </w:pPr>
    <w:rPr>
      <w:rFonts w:ascii="宋体" w:hAnsi="宋体" w:eastAsia="宋体"/>
    </w:rPr>
  </w:style>
  <w:style w:type="character" w:customStyle="1" w:styleId="176">
    <w:name w:val="标准文件_附录四级无标题 字符"/>
    <w:basedOn w:val="19"/>
    <w:link w:val="175"/>
    <w:qFormat/>
    <w:uiPriority w:val="0"/>
    <w:rPr>
      <w:rFonts w:ascii="宋体" w:hAnsi="宋体" w:eastAsia="宋体"/>
      <w:kern w:val="2"/>
      <w:sz w:val="21"/>
      <w:szCs w:val="22"/>
    </w:rPr>
  </w:style>
  <w:style w:type="paragraph" w:customStyle="1" w:styleId="177">
    <w:name w:val="标准文件_附录五级无标题"/>
    <w:basedOn w:val="167"/>
    <w:link w:val="178"/>
    <w:qFormat/>
    <w:uiPriority w:val="0"/>
    <w:pPr>
      <w:spacing w:beforeLines="0" w:afterLines="0" w:line="276" w:lineRule="auto"/>
    </w:pPr>
    <w:rPr>
      <w:rFonts w:ascii="宋体" w:hAnsi="宋体" w:eastAsia="宋体"/>
    </w:rPr>
  </w:style>
  <w:style w:type="character" w:customStyle="1" w:styleId="178">
    <w:name w:val="标准文件_附录五级无标题 字符"/>
    <w:basedOn w:val="19"/>
    <w:link w:val="177"/>
    <w:qFormat/>
    <w:uiPriority w:val="0"/>
    <w:rPr>
      <w:rFonts w:ascii="宋体" w:hAnsi="宋体" w:eastAsia="宋体"/>
      <w:kern w:val="2"/>
      <w:sz w:val="21"/>
      <w:szCs w:val="22"/>
    </w:rPr>
  </w:style>
  <w:style w:type="paragraph" w:customStyle="1" w:styleId="179">
    <w:name w:val="附录图标号"/>
    <w:basedOn w:val="23"/>
    <w:next w:val="23"/>
    <w:link w:val="180"/>
    <w:qFormat/>
    <w:uiPriority w:val="0"/>
    <w:pPr>
      <w:spacing w:line="14" w:lineRule="exact"/>
      <w:ind w:left="425" w:firstLine="0" w:firstLineChars="0"/>
      <w:jc w:val="center"/>
    </w:pPr>
    <w:rPr>
      <w:sz w:val="2"/>
    </w:rPr>
  </w:style>
  <w:style w:type="character" w:customStyle="1" w:styleId="180">
    <w:name w:val="附录图标号 字符"/>
    <w:basedOn w:val="19"/>
    <w:link w:val="179"/>
    <w:qFormat/>
    <w:uiPriority w:val="0"/>
    <w:rPr>
      <w:rFonts w:ascii="宋体" w:hAnsi="Times New Roman" w:eastAsia="宋体"/>
      <w:sz w:val="2"/>
    </w:rPr>
  </w:style>
  <w:style w:type="paragraph" w:customStyle="1" w:styleId="181">
    <w:name w:val="附录图标题"/>
    <w:next w:val="23"/>
    <w:link w:val="182"/>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2">
    <w:name w:val="附录图标题 字符"/>
    <w:basedOn w:val="19"/>
    <w:link w:val="181"/>
    <w:qFormat/>
    <w:uiPriority w:val="0"/>
    <w:rPr>
      <w:rFonts w:ascii="黑体" w:hAnsi="黑体" w:eastAsia="黑体"/>
    </w:rPr>
  </w:style>
  <w:style w:type="paragraph" w:customStyle="1" w:styleId="183">
    <w:name w:val="附录表标号"/>
    <w:basedOn w:val="23"/>
    <w:next w:val="23"/>
    <w:link w:val="184"/>
    <w:qFormat/>
    <w:uiPriority w:val="0"/>
    <w:pPr>
      <w:spacing w:line="14" w:lineRule="exact"/>
      <w:ind w:left="425" w:firstLine="0" w:firstLineChars="0"/>
      <w:jc w:val="center"/>
    </w:pPr>
    <w:rPr>
      <w:sz w:val="2"/>
    </w:rPr>
  </w:style>
  <w:style w:type="character" w:customStyle="1" w:styleId="184">
    <w:name w:val="附录表标号 字符"/>
    <w:basedOn w:val="19"/>
    <w:link w:val="183"/>
    <w:qFormat/>
    <w:uiPriority w:val="0"/>
    <w:rPr>
      <w:rFonts w:ascii="宋体" w:hAnsi="Times New Roman" w:eastAsia="宋体"/>
      <w:sz w:val="2"/>
    </w:rPr>
  </w:style>
  <w:style w:type="paragraph" w:customStyle="1" w:styleId="185">
    <w:name w:val="附录表标题"/>
    <w:next w:val="23"/>
    <w:link w:val="186"/>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6">
    <w:name w:val="附录表标题 字符"/>
    <w:basedOn w:val="19"/>
    <w:link w:val="185"/>
    <w:qFormat/>
    <w:uiPriority w:val="0"/>
    <w:rPr>
      <w:rFonts w:ascii="黑体" w:hAnsi="黑体" w:eastAsia="黑体"/>
    </w:rPr>
  </w:style>
  <w:style w:type="paragraph" w:customStyle="1" w:styleId="187">
    <w:name w:val="标准文件_示例内容"/>
    <w:basedOn w:val="23"/>
    <w:link w:val="188"/>
    <w:qFormat/>
    <w:uiPriority w:val="0"/>
    <w:pPr>
      <w:ind w:firstLine="200"/>
    </w:pPr>
    <w:rPr>
      <w:rFonts w:hAnsi="宋体"/>
      <w:sz w:val="18"/>
    </w:rPr>
  </w:style>
  <w:style w:type="character" w:customStyle="1" w:styleId="188">
    <w:name w:val="标准文件_示例内容 字符"/>
    <w:basedOn w:val="19"/>
    <w:link w:val="187"/>
    <w:qFormat/>
    <w:uiPriority w:val="0"/>
    <w:rPr>
      <w:rFonts w:ascii="宋体" w:hAnsi="宋体" w:eastAsia="宋体"/>
      <w:kern w:val="0"/>
      <w:sz w:val="18"/>
    </w:rPr>
  </w:style>
  <w:style w:type="paragraph" w:customStyle="1" w:styleId="189">
    <w:name w:val="标准文件_示例"/>
    <w:next w:val="187"/>
    <w:link w:val="190"/>
    <w:qFormat/>
    <w:uiPriority w:val="0"/>
    <w:pPr>
      <w:ind w:firstLine="363"/>
      <w:jc w:val="both"/>
    </w:pPr>
    <w:rPr>
      <w:rFonts w:ascii="宋体" w:hAnsi="宋体" w:eastAsia="宋体" w:cstheme="minorBidi"/>
      <w:kern w:val="2"/>
      <w:sz w:val="18"/>
      <w:szCs w:val="22"/>
      <w:lang w:val="en-US" w:eastAsia="zh-CN" w:bidi="ar-SA"/>
    </w:rPr>
  </w:style>
  <w:style w:type="character" w:customStyle="1" w:styleId="190">
    <w:name w:val="标准文件_示例 字符"/>
    <w:basedOn w:val="19"/>
    <w:link w:val="189"/>
    <w:qFormat/>
    <w:uiPriority w:val="0"/>
    <w:rPr>
      <w:rFonts w:ascii="宋体" w:hAnsi="宋体" w:eastAsia="宋体"/>
      <w:sz w:val="18"/>
    </w:rPr>
  </w:style>
  <w:style w:type="paragraph" w:customStyle="1" w:styleId="191">
    <w:name w:val="标准文件_示例×"/>
    <w:basedOn w:val="1"/>
    <w:next w:val="187"/>
    <w:link w:val="192"/>
    <w:qFormat/>
    <w:uiPriority w:val="0"/>
    <w:pPr>
      <w:widowControl/>
      <w:ind w:firstLine="363"/>
    </w:pPr>
    <w:rPr>
      <w:rFonts w:hAnsi="宋体"/>
      <w:sz w:val="18"/>
    </w:rPr>
  </w:style>
  <w:style w:type="character" w:customStyle="1" w:styleId="192">
    <w:name w:val="标准文件_示例× 字符"/>
    <w:basedOn w:val="19"/>
    <w:link w:val="191"/>
    <w:qFormat/>
    <w:uiPriority w:val="0"/>
    <w:rPr>
      <w:rFonts w:ascii="宋体" w:hAnsi="宋体" w:eastAsia="宋体"/>
      <w:sz w:val="18"/>
    </w:rPr>
  </w:style>
  <w:style w:type="paragraph" w:customStyle="1" w:styleId="193">
    <w:name w:val="标准文件_注"/>
    <w:next w:val="23"/>
    <w:link w:val="194"/>
    <w:qFormat/>
    <w:uiPriority w:val="0"/>
    <w:pPr>
      <w:numPr>
        <w:ilvl w:val="0"/>
        <w:numId w:val="1"/>
      </w:numPr>
      <w:autoSpaceDE w:val="0"/>
      <w:autoSpaceDN w:val="0"/>
      <w:jc w:val="both"/>
    </w:pPr>
    <w:rPr>
      <w:rFonts w:ascii="宋体" w:hAnsi="宋体" w:eastAsia="宋体" w:cstheme="minorBidi"/>
      <w:sz w:val="18"/>
      <w:lang w:val="en-US" w:eastAsia="zh-CN" w:bidi="ar-SA"/>
    </w:rPr>
  </w:style>
  <w:style w:type="character" w:customStyle="1" w:styleId="194">
    <w:name w:val="标准文件_注 字符"/>
    <w:basedOn w:val="19"/>
    <w:link w:val="193"/>
    <w:qFormat/>
    <w:uiPriority w:val="0"/>
    <w:rPr>
      <w:rFonts w:ascii="宋体" w:hAnsi="宋体" w:eastAsia="宋体"/>
      <w:sz w:val="18"/>
    </w:rPr>
  </w:style>
  <w:style w:type="paragraph" w:customStyle="1" w:styleId="195">
    <w:name w:val="标准文件_注×"/>
    <w:next w:val="23"/>
    <w:link w:val="196"/>
    <w:qFormat/>
    <w:uiPriority w:val="0"/>
    <w:pPr>
      <w:numPr>
        <w:ilvl w:val="0"/>
        <w:numId w:val="15"/>
      </w:numPr>
      <w:jc w:val="both"/>
    </w:pPr>
    <w:rPr>
      <w:rFonts w:ascii="宋体" w:hAnsi="宋体" w:eastAsia="宋体" w:cstheme="minorBidi"/>
      <w:sz w:val="18"/>
      <w:lang w:val="en-US" w:eastAsia="zh-CN" w:bidi="ar-SA"/>
    </w:rPr>
  </w:style>
  <w:style w:type="character" w:customStyle="1" w:styleId="196">
    <w:name w:val="标准文件_注× 字符"/>
    <w:basedOn w:val="19"/>
    <w:link w:val="195"/>
    <w:qFormat/>
    <w:uiPriority w:val="0"/>
    <w:rPr>
      <w:rFonts w:ascii="宋体" w:hAnsi="宋体" w:eastAsia="宋体"/>
      <w:sz w:val="18"/>
    </w:rPr>
  </w:style>
  <w:style w:type="character" w:customStyle="1" w:styleId="197">
    <w:name w:val="脚注文本 Char"/>
    <w:basedOn w:val="19"/>
    <w:link w:val="15"/>
    <w:semiHidden/>
    <w:qFormat/>
    <w:uiPriority w:val="99"/>
    <w:rPr>
      <w:rFonts w:ascii="宋体" w:hAnsi="宋体" w:eastAsia="宋体"/>
      <w:sz w:val="15"/>
      <w:szCs w:val="18"/>
    </w:rPr>
  </w:style>
  <w:style w:type="paragraph" w:customStyle="1" w:styleId="198">
    <w:name w:val="标准文件_图表脚注"/>
    <w:basedOn w:val="1"/>
    <w:next w:val="23"/>
    <w:link w:val="199"/>
    <w:qFormat/>
    <w:uiPriority w:val="0"/>
    <w:pPr>
      <w:adjustRightInd w:val="0"/>
      <w:ind w:left="539" w:hanging="119"/>
      <w:jc w:val="left"/>
    </w:pPr>
    <w:rPr>
      <w:rFonts w:hAnsi="宋体"/>
      <w:sz w:val="18"/>
    </w:rPr>
  </w:style>
  <w:style w:type="character" w:customStyle="1" w:styleId="199">
    <w:name w:val="标准文件_图表脚注 字符"/>
    <w:basedOn w:val="19"/>
    <w:link w:val="198"/>
    <w:qFormat/>
    <w:uiPriority w:val="0"/>
    <w:rPr>
      <w:rFonts w:ascii="宋体" w:hAnsi="宋体" w:eastAsia="宋体"/>
      <w:sz w:val="18"/>
    </w:rPr>
  </w:style>
  <w:style w:type="paragraph" w:customStyle="1" w:styleId="200">
    <w:name w:val="标准文件_标准正文"/>
    <w:basedOn w:val="1"/>
    <w:next w:val="23"/>
    <w:link w:val="201"/>
    <w:qFormat/>
    <w:uiPriority w:val="0"/>
    <w:pPr>
      <w:ind w:firstLine="200" w:firstLineChars="200"/>
    </w:pPr>
  </w:style>
  <w:style w:type="character" w:customStyle="1" w:styleId="201">
    <w:name w:val="标准文件_标准正文 字符"/>
    <w:basedOn w:val="19"/>
    <w:link w:val="200"/>
    <w:qFormat/>
    <w:uiPriority w:val="0"/>
    <w:rPr>
      <w:rFonts w:ascii="宋体" w:hAnsi="Times New Roman" w:eastAsia="宋体"/>
    </w:rPr>
  </w:style>
  <w:style w:type="paragraph" w:customStyle="1" w:styleId="202">
    <w:name w:val="标准文件_正文公式"/>
    <w:basedOn w:val="1"/>
    <w:next w:val="200"/>
    <w:link w:val="203"/>
    <w:qFormat/>
    <w:uiPriority w:val="0"/>
    <w:pPr>
      <w:tabs>
        <w:tab w:val="center" w:pos="4677"/>
        <w:tab w:val="right" w:leader="middleDot" w:pos="9354"/>
      </w:tabs>
    </w:pPr>
  </w:style>
  <w:style w:type="character" w:customStyle="1" w:styleId="203">
    <w:name w:val="标准文件_正文公式 字符"/>
    <w:basedOn w:val="19"/>
    <w:link w:val="202"/>
    <w:qFormat/>
    <w:uiPriority w:val="0"/>
    <w:rPr>
      <w:rFonts w:ascii="宋体" w:hAnsi="Times New Roman" w:eastAsia="宋体"/>
    </w:rPr>
  </w:style>
  <w:style w:type="paragraph" w:customStyle="1" w:styleId="204">
    <w:name w:val="标准文件_表格"/>
    <w:basedOn w:val="23"/>
    <w:link w:val="205"/>
    <w:qFormat/>
    <w:uiPriority w:val="0"/>
    <w:pPr>
      <w:ind w:firstLine="0"/>
      <w:jc w:val="center"/>
    </w:pPr>
    <w:rPr>
      <w:sz w:val="18"/>
    </w:rPr>
  </w:style>
  <w:style w:type="character" w:customStyle="1" w:styleId="205">
    <w:name w:val="标准文件_表格 字符"/>
    <w:basedOn w:val="19"/>
    <w:link w:val="204"/>
    <w:qFormat/>
    <w:uiPriority w:val="0"/>
    <w:rPr>
      <w:rFonts w:ascii="宋体" w:hAnsi="Times New Roman" w:eastAsia="宋体"/>
      <w:sz w:val="18"/>
    </w:rPr>
  </w:style>
  <w:style w:type="paragraph" w:customStyle="1" w:styleId="206">
    <w:name w:val="终结线"/>
    <w:basedOn w:val="1"/>
    <w:link w:val="207"/>
    <w:qFormat/>
    <w:uiPriority w:val="0"/>
    <w:pPr>
      <w:framePr w:hSpace="181" w:vSpace="181" w:wrap="around" w:vAnchor="text" w:hAnchor="margin" w:xAlign="center" w:y="284"/>
    </w:pPr>
    <w:rPr>
      <w:rFonts w:ascii="Times New Roman" w:cs="Times New Roman"/>
      <w:b/>
      <w:sz w:val="34"/>
    </w:rPr>
  </w:style>
  <w:style w:type="character" w:customStyle="1" w:styleId="207">
    <w:name w:val="终结线 字符"/>
    <w:basedOn w:val="19"/>
    <w:link w:val="206"/>
    <w:qFormat/>
    <w:uiPriority w:val="0"/>
    <w:rPr>
      <w:rFonts w:ascii="Times New Roman" w:hAnsi="Times New Roman" w:eastAsia="宋体" w:cs="Times New Roman"/>
      <w:b/>
      <w:sz w:val="34"/>
    </w:rPr>
  </w:style>
  <w:style w:type="paragraph" w:customStyle="1" w:styleId="208">
    <w:name w:val="标准文件_正文表标题"/>
    <w:next w:val="23"/>
    <w:link w:val="209"/>
    <w:qFormat/>
    <w:uiPriority w:val="0"/>
    <w:pPr>
      <w:numPr>
        <w:ilvl w:val="0"/>
        <w:numId w:val="16"/>
      </w:numPr>
      <w:spacing w:beforeLines="50" w:afterLines="50"/>
      <w:jc w:val="center"/>
    </w:pPr>
    <w:rPr>
      <w:rFonts w:ascii="黑体" w:hAnsi="黑体" w:eastAsia="黑体" w:cstheme="minorBidi"/>
      <w:sz w:val="21"/>
      <w:lang w:val="en-US" w:eastAsia="zh-CN" w:bidi="ar-SA"/>
    </w:rPr>
  </w:style>
  <w:style w:type="character" w:customStyle="1" w:styleId="209">
    <w:name w:val="标准文件_正文表标题 字符"/>
    <w:basedOn w:val="19"/>
    <w:link w:val="208"/>
    <w:qFormat/>
    <w:uiPriority w:val="0"/>
    <w:rPr>
      <w:rFonts w:ascii="黑体" w:hAnsi="黑体" w:eastAsia="黑体"/>
      <w:sz w:val="21"/>
    </w:rPr>
  </w:style>
  <w:style w:type="paragraph" w:customStyle="1" w:styleId="210">
    <w:name w:val="标准文件_正文图标题"/>
    <w:next w:val="23"/>
    <w:link w:val="211"/>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211">
    <w:name w:val="标准文件_正文图标题 字符"/>
    <w:basedOn w:val="19"/>
    <w:link w:val="210"/>
    <w:qFormat/>
    <w:uiPriority w:val="0"/>
    <w:rPr>
      <w:rFonts w:ascii="黑体" w:hAnsi="黑体" w:eastAsia="黑体"/>
    </w:rPr>
  </w:style>
  <w:style w:type="paragraph" w:customStyle="1" w:styleId="212">
    <w:name w:val="目录 11"/>
    <w:basedOn w:val="1"/>
    <w:link w:val="213"/>
    <w:qFormat/>
    <w:uiPriority w:val="0"/>
    <w:pPr>
      <w:spacing w:line="400" w:lineRule="exact"/>
    </w:pPr>
    <w:rPr>
      <w:rFonts w:hAnsi="宋体"/>
    </w:rPr>
  </w:style>
  <w:style w:type="character" w:customStyle="1" w:styleId="213">
    <w:name w:val="目录 1 字符"/>
    <w:basedOn w:val="19"/>
    <w:link w:val="212"/>
    <w:qFormat/>
    <w:uiPriority w:val="0"/>
    <w:rPr>
      <w:rFonts w:ascii="宋体" w:hAnsi="宋体" w:eastAsia="宋体"/>
    </w:rPr>
  </w:style>
  <w:style w:type="paragraph" w:customStyle="1" w:styleId="214">
    <w:name w:val="目录 21"/>
    <w:basedOn w:val="1"/>
    <w:link w:val="215"/>
    <w:qFormat/>
    <w:uiPriority w:val="0"/>
    <w:pPr>
      <w:spacing w:line="300" w:lineRule="exact"/>
    </w:pPr>
    <w:rPr>
      <w:rFonts w:hAnsi="宋体"/>
    </w:rPr>
  </w:style>
  <w:style w:type="character" w:customStyle="1" w:styleId="215">
    <w:name w:val="目录 2 字符"/>
    <w:basedOn w:val="19"/>
    <w:link w:val="214"/>
    <w:qFormat/>
    <w:uiPriority w:val="0"/>
    <w:rPr>
      <w:rFonts w:ascii="宋体" w:hAnsi="宋体" w:eastAsia="宋体"/>
    </w:rPr>
  </w:style>
  <w:style w:type="paragraph" w:customStyle="1" w:styleId="216">
    <w:name w:val="目录 31"/>
    <w:basedOn w:val="1"/>
    <w:link w:val="217"/>
    <w:qFormat/>
    <w:uiPriority w:val="0"/>
    <w:pPr>
      <w:spacing w:line="300" w:lineRule="exact"/>
    </w:pPr>
    <w:rPr>
      <w:rFonts w:hAnsi="宋体"/>
    </w:rPr>
  </w:style>
  <w:style w:type="character" w:customStyle="1" w:styleId="217">
    <w:name w:val="目录 3 字符"/>
    <w:basedOn w:val="19"/>
    <w:link w:val="216"/>
    <w:qFormat/>
    <w:uiPriority w:val="0"/>
    <w:rPr>
      <w:rFonts w:ascii="宋体" w:hAnsi="宋体" w:eastAsia="宋体"/>
    </w:rPr>
  </w:style>
  <w:style w:type="paragraph" w:customStyle="1" w:styleId="218">
    <w:name w:val="目录 41"/>
    <w:basedOn w:val="1"/>
    <w:link w:val="219"/>
    <w:qFormat/>
    <w:uiPriority w:val="0"/>
    <w:pPr>
      <w:spacing w:line="300" w:lineRule="exact"/>
    </w:pPr>
    <w:rPr>
      <w:rFonts w:hAnsi="宋体"/>
    </w:rPr>
  </w:style>
  <w:style w:type="character" w:customStyle="1" w:styleId="219">
    <w:name w:val="目录 4 字符"/>
    <w:basedOn w:val="19"/>
    <w:link w:val="218"/>
    <w:qFormat/>
    <w:uiPriority w:val="0"/>
    <w:rPr>
      <w:rFonts w:ascii="宋体" w:hAnsi="宋体" w:eastAsia="宋体"/>
    </w:rPr>
  </w:style>
  <w:style w:type="paragraph" w:customStyle="1" w:styleId="220">
    <w:name w:val="目录 51"/>
    <w:basedOn w:val="1"/>
    <w:link w:val="221"/>
    <w:qFormat/>
    <w:uiPriority w:val="0"/>
    <w:pPr>
      <w:spacing w:line="300" w:lineRule="exact"/>
    </w:pPr>
    <w:rPr>
      <w:rFonts w:hAnsi="宋体"/>
    </w:rPr>
  </w:style>
  <w:style w:type="character" w:customStyle="1" w:styleId="221">
    <w:name w:val="目录 5 字符"/>
    <w:basedOn w:val="19"/>
    <w:link w:val="220"/>
    <w:qFormat/>
    <w:uiPriority w:val="0"/>
    <w:rPr>
      <w:rFonts w:ascii="宋体" w:hAnsi="宋体" w:eastAsia="宋体"/>
    </w:rPr>
  </w:style>
  <w:style w:type="paragraph" w:customStyle="1" w:styleId="222">
    <w:name w:val="目录 61"/>
    <w:basedOn w:val="1"/>
    <w:link w:val="223"/>
    <w:qFormat/>
    <w:uiPriority w:val="0"/>
    <w:pPr>
      <w:spacing w:line="300" w:lineRule="exact"/>
    </w:pPr>
    <w:rPr>
      <w:rFonts w:hAnsi="宋体"/>
    </w:rPr>
  </w:style>
  <w:style w:type="character" w:customStyle="1" w:styleId="223">
    <w:name w:val="目录 6 字符"/>
    <w:basedOn w:val="19"/>
    <w:link w:val="222"/>
    <w:qFormat/>
    <w:uiPriority w:val="0"/>
    <w:rPr>
      <w:rFonts w:ascii="宋体" w:hAnsi="宋体" w:eastAsia="宋体"/>
    </w:rPr>
  </w:style>
  <w:style w:type="paragraph" w:customStyle="1" w:styleId="224">
    <w:name w:val="标准文件_索引标题"/>
    <w:basedOn w:val="41"/>
    <w:next w:val="23"/>
    <w:link w:val="225"/>
    <w:qFormat/>
    <w:uiPriority w:val="0"/>
    <w:rPr>
      <w:rFonts w:hAnsi="黑体"/>
    </w:rPr>
  </w:style>
  <w:style w:type="character" w:customStyle="1" w:styleId="225">
    <w:name w:val="标准文件_索引标题 字符"/>
    <w:basedOn w:val="19"/>
    <w:link w:val="224"/>
    <w:qFormat/>
    <w:uiPriority w:val="0"/>
    <w:rPr>
      <w:rFonts w:ascii="黑体" w:hAnsi="黑体" w:eastAsia="黑体"/>
      <w:kern w:val="0"/>
    </w:rPr>
  </w:style>
  <w:style w:type="paragraph" w:customStyle="1" w:styleId="226">
    <w:name w:val="标准文件_索引项"/>
    <w:basedOn w:val="23"/>
    <w:next w:val="23"/>
    <w:link w:val="227"/>
    <w:qFormat/>
    <w:uiPriority w:val="0"/>
    <w:pPr>
      <w:tabs>
        <w:tab w:val="right" w:leader="dot" w:pos="9354"/>
      </w:tabs>
      <w:autoSpaceDE w:val="0"/>
      <w:autoSpaceDN w:val="0"/>
      <w:ind w:hanging="210" w:hangingChars="37"/>
      <w:jc w:val="left"/>
    </w:pPr>
  </w:style>
  <w:style w:type="character" w:customStyle="1" w:styleId="227">
    <w:name w:val="标准文件_索引项 字符"/>
    <w:basedOn w:val="19"/>
    <w:link w:val="226"/>
    <w:qFormat/>
    <w:uiPriority w:val="0"/>
    <w:rPr>
      <w:rFonts w:ascii="宋体" w:hAnsi="Times New Roman" w:eastAsia="宋体"/>
    </w:rPr>
  </w:style>
  <w:style w:type="paragraph" w:customStyle="1" w:styleId="228">
    <w:name w:val="标准文件_索引字母"/>
    <w:next w:val="23"/>
    <w:link w:val="229"/>
    <w:qFormat/>
    <w:uiPriority w:val="0"/>
    <w:pPr>
      <w:jc w:val="center"/>
    </w:pPr>
    <w:rPr>
      <w:rFonts w:ascii="宋体" w:hAnsi="宋体" w:eastAsia="宋体" w:cstheme="minorBidi"/>
      <w:b/>
      <w:kern w:val="2"/>
      <w:sz w:val="21"/>
      <w:szCs w:val="22"/>
      <w:lang w:val="en-US" w:eastAsia="zh-CN" w:bidi="ar-SA"/>
    </w:rPr>
  </w:style>
  <w:style w:type="character" w:customStyle="1" w:styleId="229">
    <w:name w:val="标准文件_索引字母 字符"/>
    <w:basedOn w:val="19"/>
    <w:link w:val="228"/>
    <w:qFormat/>
    <w:uiPriority w:val="0"/>
    <w:rPr>
      <w:rFonts w:ascii="宋体" w:hAnsi="宋体" w:eastAsia="宋体"/>
      <w:b/>
    </w:rPr>
  </w:style>
  <w:style w:type="paragraph" w:customStyle="1" w:styleId="230">
    <w:name w:val="标准文件_提示"/>
    <w:basedOn w:val="1"/>
    <w:link w:val="231"/>
    <w:qFormat/>
    <w:uiPriority w:val="0"/>
    <w:pPr>
      <w:ind w:firstLine="198" w:firstLineChars="200"/>
    </w:pPr>
    <w:rPr>
      <w:rFonts w:ascii="黑体" w:hAnsi="黑体" w:eastAsia="黑体"/>
    </w:rPr>
  </w:style>
  <w:style w:type="character" w:customStyle="1" w:styleId="231">
    <w:name w:val="标准文件_提示 字符"/>
    <w:basedOn w:val="19"/>
    <w:link w:val="230"/>
    <w:qFormat/>
    <w:uiPriority w:val="0"/>
    <w:rPr>
      <w:rFonts w:ascii="黑体" w:hAnsi="黑体" w:eastAsia="黑体"/>
    </w:rPr>
  </w:style>
  <w:style w:type="character" w:customStyle="1" w:styleId="232">
    <w:name w:val="页眉 Char"/>
    <w:basedOn w:val="19"/>
    <w:link w:val="14"/>
    <w:qFormat/>
    <w:uiPriority w:val="99"/>
    <w:rPr>
      <w:rFonts w:ascii="宋体" w:hAnsi="Times New Roman" w:eastAsia="宋体"/>
      <w:sz w:val="18"/>
      <w:szCs w:val="18"/>
    </w:rPr>
  </w:style>
  <w:style w:type="character" w:customStyle="1" w:styleId="233">
    <w:name w:val="页脚 Char"/>
    <w:basedOn w:val="19"/>
    <w:link w:val="13"/>
    <w:qFormat/>
    <w:uiPriority w:val="99"/>
    <w:rPr>
      <w:rFonts w:ascii="宋体" w:hAnsi="Times New Roman" w:eastAsia="宋体"/>
      <w:sz w:val="18"/>
      <w:szCs w:val="18"/>
    </w:rPr>
  </w:style>
  <w:style w:type="paragraph" w:styleId="234">
    <w:name w:val="List Paragraph"/>
    <w:basedOn w:val="1"/>
    <w:qFormat/>
    <w:uiPriority w:val="34"/>
    <w:pPr>
      <w:ind w:firstLine="420" w:firstLineChars="200"/>
    </w:pPr>
  </w:style>
  <w:style w:type="paragraph" w:customStyle="1" w:styleId="235">
    <w:name w:val="标准文件_参考文献编号"/>
    <w:basedOn w:val="23"/>
    <w:qFormat/>
    <w:uiPriority w:val="0"/>
    <w:pPr>
      <w:numPr>
        <w:ilvl w:val="0"/>
        <w:numId w:val="17"/>
      </w:numPr>
    </w:pPr>
  </w:style>
  <w:style w:type="character" w:styleId="236">
    <w:name w:val="Placeholder Text"/>
    <w:basedOn w:val="19"/>
    <w:semiHidden/>
    <w:qFormat/>
    <w:uiPriority w:val="99"/>
    <w:rPr>
      <w:color w:val="808080"/>
    </w:rPr>
  </w:style>
  <w:style w:type="paragraph" w:customStyle="1" w:styleId="237">
    <w:name w:val="段"/>
    <w:link w:val="23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8">
    <w:name w:val="段 Char"/>
    <w:basedOn w:val="19"/>
    <w:link w:val="237"/>
    <w:qFormat/>
    <w:uiPriority w:val="0"/>
    <w:rPr>
      <w:rFonts w:ascii="宋体" w:hAnsi="Times New Roman" w:eastAsia="宋体" w:cs="Times New Roman"/>
      <w:sz w:val="21"/>
    </w:rPr>
  </w:style>
  <w:style w:type="paragraph" w:customStyle="1" w:styleId="239">
    <w:name w:val="一级条标题"/>
    <w:next w:val="1"/>
    <w:qFormat/>
    <w:uiPriority w:val="0"/>
    <w:pPr>
      <w:numPr>
        <w:ilvl w:val="1"/>
        <w:numId w:val="18"/>
      </w:numPr>
      <w:spacing w:beforeLines="50" w:afterLines="50"/>
      <w:outlineLvl w:val="2"/>
    </w:pPr>
    <w:rPr>
      <w:rFonts w:ascii="黑体" w:hAnsi="Times New Roman" w:eastAsia="黑体" w:cs="Times New Roman"/>
      <w:sz w:val="21"/>
      <w:szCs w:val="21"/>
      <w:lang w:val="en-US" w:eastAsia="zh-CN" w:bidi="ar-SA"/>
    </w:rPr>
  </w:style>
  <w:style w:type="paragraph" w:customStyle="1" w:styleId="240">
    <w:name w:val="章标题"/>
    <w:next w:val="1"/>
    <w:qFormat/>
    <w:uiPriority w:val="0"/>
    <w:pPr>
      <w:numPr>
        <w:ilvl w:val="0"/>
        <w:numId w:val="18"/>
      </w:numPr>
      <w:spacing w:beforeLines="100" w:afterLines="100"/>
      <w:jc w:val="both"/>
      <w:outlineLvl w:val="1"/>
    </w:pPr>
    <w:rPr>
      <w:rFonts w:ascii="黑体" w:hAnsi="Times New Roman" w:eastAsia="黑体" w:cs="Times New Roman"/>
      <w:sz w:val="21"/>
      <w:lang w:val="en-US" w:eastAsia="zh-CN" w:bidi="ar-SA"/>
    </w:rPr>
  </w:style>
  <w:style w:type="paragraph" w:customStyle="1" w:styleId="241">
    <w:name w:val="二级条标题"/>
    <w:basedOn w:val="239"/>
    <w:next w:val="237"/>
    <w:qFormat/>
    <w:uiPriority w:val="0"/>
    <w:pPr>
      <w:numPr>
        <w:ilvl w:val="2"/>
      </w:numPr>
      <w:spacing w:before="50" w:after="50"/>
      <w:outlineLvl w:val="3"/>
    </w:pPr>
  </w:style>
  <w:style w:type="paragraph" w:customStyle="1" w:styleId="242">
    <w:name w:val="三级条标题"/>
    <w:basedOn w:val="241"/>
    <w:next w:val="237"/>
    <w:qFormat/>
    <w:uiPriority w:val="0"/>
    <w:pPr>
      <w:numPr>
        <w:ilvl w:val="3"/>
      </w:numPr>
      <w:outlineLvl w:val="4"/>
    </w:pPr>
  </w:style>
  <w:style w:type="paragraph" w:customStyle="1" w:styleId="243">
    <w:name w:val="数字编号列项（二级）"/>
    <w:qFormat/>
    <w:uiPriority w:val="0"/>
    <w:pPr>
      <w:numPr>
        <w:ilvl w:val="1"/>
        <w:numId w:val="19"/>
      </w:numPr>
      <w:jc w:val="both"/>
    </w:pPr>
    <w:rPr>
      <w:rFonts w:ascii="宋体" w:hAnsi="Times New Roman" w:eastAsia="宋体" w:cs="Times New Roman"/>
      <w:sz w:val="21"/>
      <w:lang w:val="en-US" w:eastAsia="zh-CN" w:bidi="ar-SA"/>
    </w:rPr>
  </w:style>
  <w:style w:type="paragraph" w:customStyle="1" w:styleId="244">
    <w:name w:val="四级条标题"/>
    <w:basedOn w:val="242"/>
    <w:next w:val="237"/>
    <w:qFormat/>
    <w:uiPriority w:val="0"/>
    <w:pPr>
      <w:numPr>
        <w:ilvl w:val="4"/>
      </w:numPr>
      <w:outlineLvl w:val="5"/>
    </w:pPr>
  </w:style>
  <w:style w:type="paragraph" w:customStyle="1" w:styleId="245">
    <w:name w:val="五级条标题"/>
    <w:basedOn w:val="244"/>
    <w:next w:val="237"/>
    <w:qFormat/>
    <w:uiPriority w:val="0"/>
    <w:pPr>
      <w:numPr>
        <w:ilvl w:val="5"/>
      </w:numPr>
      <w:outlineLvl w:val="6"/>
    </w:pPr>
  </w:style>
  <w:style w:type="paragraph" w:customStyle="1" w:styleId="246">
    <w:name w:val="字母编号列项（一级）"/>
    <w:qFormat/>
    <w:uiPriority w:val="0"/>
    <w:pPr>
      <w:numPr>
        <w:ilvl w:val="0"/>
        <w:numId w:val="19"/>
      </w:numPr>
      <w:jc w:val="both"/>
    </w:pPr>
    <w:rPr>
      <w:rFonts w:ascii="宋体" w:hAnsi="Times New Roman" w:eastAsia="宋体" w:cs="Times New Roman"/>
      <w:sz w:val="21"/>
      <w:lang w:val="en-US" w:eastAsia="zh-CN" w:bidi="ar-SA"/>
    </w:rPr>
  </w:style>
  <w:style w:type="paragraph" w:customStyle="1" w:styleId="247">
    <w:name w:val="编号列项（三级）"/>
    <w:qFormat/>
    <w:uiPriority w:val="0"/>
    <w:pPr>
      <w:numPr>
        <w:ilvl w:val="2"/>
        <w:numId w:val="19"/>
      </w:numPr>
    </w:pPr>
    <w:rPr>
      <w:rFonts w:ascii="宋体" w:hAnsi="Times New Roman" w:eastAsia="宋体" w:cs="Times New Roman"/>
      <w:sz w:val="21"/>
      <w:lang w:val="en-US" w:eastAsia="zh-CN" w:bidi="ar-SA"/>
    </w:rPr>
  </w:style>
  <w:style w:type="paragraph" w:customStyle="1" w:styleId="248">
    <w:name w:val="二级无"/>
    <w:basedOn w:val="241"/>
    <w:qFormat/>
    <w:uiPriority w:val="0"/>
    <w:pPr>
      <w:spacing w:beforeLines="0" w:afterLines="0"/>
    </w:pPr>
    <w:rPr>
      <w:rFonts w:ascii="宋体" w:eastAsia="宋体"/>
    </w:rPr>
  </w:style>
  <w:style w:type="paragraph" w:customStyle="1" w:styleId="249">
    <w:name w:val="注：（正文）"/>
    <w:basedOn w:val="1"/>
    <w:next w:val="237"/>
    <w:qFormat/>
    <w:uiPriority w:val="0"/>
    <w:pPr>
      <w:autoSpaceDE w:val="0"/>
      <w:autoSpaceDN w:val="0"/>
      <w:ind w:left="425" w:hanging="425"/>
    </w:pPr>
    <w:rPr>
      <w:rFonts w:cs="Times New Roman"/>
      <w:kern w:val="0"/>
      <w:sz w:val="18"/>
      <w:szCs w:val="18"/>
    </w:rPr>
  </w:style>
  <w:style w:type="paragraph" w:customStyle="1" w:styleId="250">
    <w:name w:val="正文表标题"/>
    <w:next w:val="237"/>
    <w:qFormat/>
    <w:uiPriority w:val="0"/>
    <w:pPr>
      <w:numPr>
        <w:ilvl w:val="0"/>
        <w:numId w:val="20"/>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51">
    <w:name w:val="正文图标题"/>
    <w:next w:val="237"/>
    <w:qFormat/>
    <w:uiPriority w:val="0"/>
    <w:pPr>
      <w:numPr>
        <w:ilvl w:val="0"/>
        <w:numId w:val="21"/>
      </w:num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252">
    <w:name w:val="正文文本 Char"/>
    <w:basedOn w:val="19"/>
    <w:link w:val="11"/>
    <w:qFormat/>
    <w:uiPriority w:val="0"/>
    <w:rPr>
      <w:rFonts w:ascii="宋体" w:hAnsi="宋体" w:eastAsia="宋体" w:cs="Times New Roman"/>
      <w:kern w:val="2"/>
      <w:sz w:val="24"/>
      <w:szCs w:val="24"/>
    </w:rPr>
  </w:style>
  <w:style w:type="paragraph" w:customStyle="1" w:styleId="253">
    <w:name w:val="修订1"/>
    <w:hidden/>
    <w:semiHidden/>
    <w:qFormat/>
    <w:uiPriority w:val="99"/>
    <w:rPr>
      <w:rFonts w:ascii="宋体" w:hAnsi="Times New Roman" w:eastAsia="宋体" w:cstheme="minorBidi"/>
      <w:kern w:val="2"/>
      <w:sz w:val="21"/>
      <w:szCs w:val="22"/>
      <w:lang w:val="en-US" w:eastAsia="zh-CN" w:bidi="ar-SA"/>
    </w:rPr>
  </w:style>
  <w:style w:type="character" w:customStyle="1" w:styleId="254">
    <w:name w:val="批注框文本 Char"/>
    <w:basedOn w:val="19"/>
    <w:link w:val="12"/>
    <w:semiHidden/>
    <w:qFormat/>
    <w:uiPriority w:val="99"/>
    <w:rPr>
      <w:rFonts w:ascii="宋体" w:hAnsi="Times New Roman" w:eastAsia="宋体"/>
      <w:kern w:val="2"/>
      <w:sz w:val="18"/>
      <w:szCs w:val="18"/>
    </w:rPr>
  </w:style>
  <w:style w:type="character" w:customStyle="1" w:styleId="255">
    <w:name w:val="未处理的提及1"/>
    <w:basedOn w:val="19"/>
    <w:semiHidden/>
    <w:unhideWhenUsed/>
    <w:qFormat/>
    <w:uiPriority w:val="99"/>
    <w:rPr>
      <w:color w:val="605E5C"/>
      <w:shd w:val="clear" w:color="auto" w:fill="E1DFDD"/>
    </w:rPr>
  </w:style>
  <w:style w:type="character" w:customStyle="1" w:styleId="256">
    <w:name w:val="Unresolved Mention"/>
    <w:basedOn w:val="19"/>
    <w:semiHidden/>
    <w:unhideWhenUsed/>
    <w:qFormat/>
    <w:uiPriority w:val="99"/>
    <w:rPr>
      <w:color w:val="605E5C"/>
      <w:shd w:val="clear" w:color="auto" w:fill="E1DFDD"/>
    </w:rPr>
  </w:style>
  <w:style w:type="character" w:customStyle="1" w:styleId="257">
    <w:name w:val="标题 1 Char"/>
    <w:basedOn w:val="19"/>
    <w:link w:val="2"/>
    <w:qFormat/>
    <w:uiPriority w:val="0"/>
    <w:rPr>
      <w:rFonts w:ascii="宋体" w:hAnsi="Times New Roman" w:eastAsia="宋体"/>
      <w:b/>
      <w:bCs/>
      <w:kern w:val="44"/>
      <w:sz w:val="44"/>
      <w:szCs w:val="44"/>
    </w:rPr>
  </w:style>
  <w:style w:type="paragraph" w:customStyle="1" w:styleId="258">
    <w:name w:val="附录一级无"/>
    <w:qFormat/>
    <w:uiPriority w:val="0"/>
    <w:pPr>
      <w:numPr>
        <w:ilvl w:val="2"/>
        <w:numId w:val="22"/>
      </w:numPr>
      <w:wordWrap w:val="0"/>
      <w:overflowPunct w:val="0"/>
      <w:autoSpaceDE w:val="0"/>
      <w:autoSpaceDN w:val="0"/>
      <w:jc w:val="both"/>
      <w:outlineLvl w:val="2"/>
    </w:pPr>
    <w:rPr>
      <w:rFonts w:hint="eastAsia" w:ascii="宋体" w:hAnsi="Times New Roman" w:eastAsia="宋体" w:cs="Times New Roman"/>
      <w:kern w:val="21"/>
      <w:sz w:val="21"/>
      <w:szCs w:val="21"/>
      <w:lang w:val="en-US" w:eastAsia="zh-CN" w:bidi="ar-SA"/>
    </w:rPr>
  </w:style>
  <w:style w:type="paragraph" w:customStyle="1" w:styleId="259">
    <w:name w:val="Table Paragraph"/>
    <w:basedOn w:val="1"/>
    <w:qFormat/>
    <w:uiPriority w:val="1"/>
    <w:pPr>
      <w:spacing w:before="129"/>
    </w:pPr>
  </w:style>
  <w:style w:type="table" w:customStyle="1" w:styleId="260">
    <w:name w:val="Table Normal"/>
    <w:semiHidden/>
    <w:unhideWhenUsed/>
    <w:qFormat/>
    <w:uiPriority w:val="2"/>
    <w:tblPr>
      <w:tblCellMar>
        <w:top w:w="0" w:type="dxa"/>
        <w:left w:w="0" w:type="dxa"/>
        <w:bottom w:w="0" w:type="dxa"/>
        <w:right w:w="0" w:type="dxa"/>
      </w:tblCellMar>
    </w:tblPr>
  </w:style>
  <w:style w:type="paragraph" w:customStyle="1" w:styleId="261">
    <w:name w:val="一级无"/>
    <w:basedOn w:val="239"/>
    <w:qFormat/>
    <w:uiPriority w:val="0"/>
    <w:pPr>
      <w:widowControl w:val="0"/>
      <w:spacing w:line="360" w:lineRule="auto"/>
      <w:ind w:left="710"/>
      <w:jc w:val="both"/>
      <w:outlineLvl w:val="9"/>
    </w:pPr>
    <w:rPr>
      <w:rFonts w:ascii="宋体" w:hAnsi="宋体" w:cs="宋体"/>
      <w:kern w:val="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glossaryDocument" Target="glossary/document.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ses\Template\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93F6B516-89F0-4B27-A29C-4628536457BE}"/>
      </w:docPartPr>
      <w:docPartBody>
        <w:p>
          <w:r>
            <w:rPr>
              <w:rStyle w:val="4"/>
            </w:rPr>
            <w:t>单击或点击此处输入文字。</w:t>
          </w:r>
        </w:p>
      </w:docPartBody>
    </w:docPart>
    <w:docPart>
      <w:docPartPr>
        <w:name w:val="DefaultPlaceholder_-1854013438"/>
        <w:style w:val=""/>
        <w:category>
          <w:name w:val="常规"/>
          <w:gallery w:val="placeholder"/>
        </w:category>
        <w:types>
          <w:type w:val="bbPlcHdr"/>
        </w:types>
        <w:behaviors>
          <w:behavior w:val="content"/>
        </w:behaviors>
        <w:description w:val=""/>
        <w:guid w:val="{9EF293E4-CEBC-475D-BC68-24EA89DA6ED6}"/>
      </w:docPartPr>
      <w:docPartBody>
        <w:p>
          <w:r>
            <w:rPr>
              <w:rStyle w:val="4"/>
            </w:rPr>
            <w:t>选择一项。</w:t>
          </w:r>
        </w:p>
      </w:docPartBody>
    </w:docPart>
    <w:docPart>
      <w:docPartPr>
        <w:name w:val="{1e539e67-bdf2-467d-ae1f-7f7985cc4a4c}"/>
        <w:style w:val=""/>
        <w:category>
          <w:name w:val="常规"/>
          <w:gallery w:val="placeholder"/>
        </w:category>
        <w:types>
          <w:type w:val="bbPlcHdr"/>
        </w:types>
        <w:behaviors>
          <w:behavior w:val="content"/>
        </w:behaviors>
        <w:description w:val=""/>
        <w:guid w:val="{1E539E67-BDF2-467D-AE1F-7F7985CC4A4C}"/>
      </w:docPartPr>
      <w:docPartBody>
        <w:p>
          <w:pPr>
            <w:pStyle w:val="5"/>
          </w:pPr>
          <w:r>
            <w:rPr>
              <w:rStyle w:val="6"/>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257A72"/>
    <w:rsid w:val="00020F79"/>
    <w:rsid w:val="000472FF"/>
    <w:rsid w:val="00074763"/>
    <w:rsid w:val="0008153B"/>
    <w:rsid w:val="000913D7"/>
    <w:rsid w:val="00107DCF"/>
    <w:rsid w:val="00150895"/>
    <w:rsid w:val="00194C1A"/>
    <w:rsid w:val="001F4A87"/>
    <w:rsid w:val="00200805"/>
    <w:rsid w:val="002051BC"/>
    <w:rsid w:val="00237224"/>
    <w:rsid w:val="00257A72"/>
    <w:rsid w:val="002D6AEB"/>
    <w:rsid w:val="002E326B"/>
    <w:rsid w:val="002E417D"/>
    <w:rsid w:val="00306777"/>
    <w:rsid w:val="00343315"/>
    <w:rsid w:val="00363B07"/>
    <w:rsid w:val="003763D0"/>
    <w:rsid w:val="003834C7"/>
    <w:rsid w:val="004557CA"/>
    <w:rsid w:val="004A45D2"/>
    <w:rsid w:val="00522A98"/>
    <w:rsid w:val="005D0125"/>
    <w:rsid w:val="005E4E75"/>
    <w:rsid w:val="005F42E5"/>
    <w:rsid w:val="006025BA"/>
    <w:rsid w:val="006241C9"/>
    <w:rsid w:val="00650A60"/>
    <w:rsid w:val="00650D44"/>
    <w:rsid w:val="0066736D"/>
    <w:rsid w:val="006B2BEE"/>
    <w:rsid w:val="006C4EFC"/>
    <w:rsid w:val="007224B9"/>
    <w:rsid w:val="007A400F"/>
    <w:rsid w:val="007E51B8"/>
    <w:rsid w:val="00864AD6"/>
    <w:rsid w:val="00867FC7"/>
    <w:rsid w:val="008C398A"/>
    <w:rsid w:val="0093340E"/>
    <w:rsid w:val="0094711E"/>
    <w:rsid w:val="00964F21"/>
    <w:rsid w:val="009D4185"/>
    <w:rsid w:val="00A97312"/>
    <w:rsid w:val="00AC0FCD"/>
    <w:rsid w:val="00AE6AE7"/>
    <w:rsid w:val="00AF4572"/>
    <w:rsid w:val="00B57E51"/>
    <w:rsid w:val="00B65F49"/>
    <w:rsid w:val="00B815C8"/>
    <w:rsid w:val="00BB65A3"/>
    <w:rsid w:val="00CB5F86"/>
    <w:rsid w:val="00CC69AF"/>
    <w:rsid w:val="00CD72EB"/>
    <w:rsid w:val="00D022E4"/>
    <w:rsid w:val="00D26B26"/>
    <w:rsid w:val="00D31310"/>
    <w:rsid w:val="00D47D06"/>
    <w:rsid w:val="00D47D25"/>
    <w:rsid w:val="00D830D5"/>
    <w:rsid w:val="00D90313"/>
    <w:rsid w:val="00DB5AA2"/>
    <w:rsid w:val="00E9517D"/>
    <w:rsid w:val="00EA44B2"/>
    <w:rsid w:val="00EA68E1"/>
    <w:rsid w:val="00ED42FE"/>
    <w:rsid w:val="00EF5588"/>
    <w:rsid w:val="00F046D9"/>
    <w:rsid w:val="00F830F6"/>
    <w:rsid w:val="00FA4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83A04B961ED475C83C7A94AE48EC8E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customStyle="1" w:styleId="6">
    <w:name w:val="占位符文本1"/>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F2D54-B6C2-4552-89B2-9F433A08E71A}">
  <ds:schemaRefs/>
</ds:datastoreItem>
</file>

<file path=docProps/app.xml><?xml version="1.0" encoding="utf-8"?>
<Properties xmlns="http://schemas.openxmlformats.org/officeDocument/2006/extended-properties" xmlns:vt="http://schemas.openxmlformats.org/officeDocument/2006/docPropsVTypes">
  <Template>Template</Template>
  <Pages>13</Pages>
  <Words>1069</Words>
  <Characters>6098</Characters>
  <Lines>50</Lines>
  <Paragraphs>14</Paragraphs>
  <TotalTime>1</TotalTime>
  <ScaleCrop>false</ScaleCrop>
  <LinksUpToDate>false</LinksUpToDate>
  <CharactersWithSpaces>7153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2024-06-13T08:11:00Z</dcterms:created>
  <dc:creator>陈超慧</dc:creator>
  <cp:lastModifiedBy>Administrator</cp:lastModifiedBy>
  <dcterms:modified xsi:type="dcterms:W3CDTF">2024-06-19T12:59:17Z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6C95F97FA568481186FC97FAD2480ABF</vt:lpwstr>
  </property>
</Properties>
</file>